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09DF" w14:textId="77777777" w:rsidR="00DD6D63" w:rsidRDefault="00656C1C" w:rsidP="00420041">
      <w:pPr>
        <w:pStyle w:val="Spacer-Cover"/>
        <w:spacing w:line="276" w:lineRule="auto"/>
      </w:pPr>
      <w:r>
        <mc:AlternateContent>
          <mc:Choice Requires="wpg">
            <w:drawing>
              <wp:anchor distT="0" distB="0" distL="114300" distR="114300" simplePos="0" relativeHeight="251658245" behindDoc="0" locked="1" layoutInCell="1" allowOverlap="1" wp14:anchorId="7F00623F" wp14:editId="4CC6071E">
                <wp:simplePos x="0" y="0"/>
                <wp:positionH relativeFrom="page">
                  <wp:align>left</wp:align>
                </wp:positionH>
                <wp:positionV relativeFrom="page">
                  <wp:align>top</wp:align>
                </wp:positionV>
                <wp:extent cx="2451600" cy="2282400"/>
                <wp:effectExtent l="0" t="0" r="6350" b="3810"/>
                <wp:wrapNone/>
                <wp:docPr id="13" name="Graphic 1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451600" cy="2282400"/>
                          <a:chOff x="0" y="0"/>
                          <a:chExt cx="3837908" cy="3576550"/>
                        </a:xfrm>
                      </wpg:grpSpPr>
                      <wps:wsp>
                        <wps:cNvPr id="14" name="Graphic 12"/>
                        <wps:cNvSpPr/>
                        <wps:spPr>
                          <a:xfrm>
                            <a:off x="0" y="0"/>
                            <a:ext cx="3837908" cy="3576550"/>
                          </a:xfrm>
                          <a:custGeom>
                            <a:avLst/>
                            <a:gdLst>
                              <a:gd name="connsiteX0" fmla="*/ 3837908 w 3837908"/>
                              <a:gd name="connsiteY0" fmla="*/ 0 h 3576550"/>
                              <a:gd name="connsiteX1" fmla="*/ 3730943 w 3837908"/>
                              <a:gd name="connsiteY1" fmla="*/ 0 h 3576550"/>
                              <a:gd name="connsiteX2" fmla="*/ 89726 w 3837908"/>
                              <a:gd name="connsiteY2" fmla="*/ 3143917 h 3576550"/>
                              <a:gd name="connsiteX3" fmla="*/ 0 w 3837908"/>
                              <a:gd name="connsiteY3" fmla="*/ 3142964 h 3576550"/>
                              <a:gd name="connsiteX4" fmla="*/ 0 w 3837908"/>
                              <a:gd name="connsiteY4" fmla="*/ 3575590 h 3576550"/>
                              <a:gd name="connsiteX5" fmla="*/ 89821 w 3837908"/>
                              <a:gd name="connsiteY5" fmla="*/ 3576542 h 3576550"/>
                              <a:gd name="connsiteX6" fmla="*/ 3837908 w 3837908"/>
                              <a:gd name="connsiteY6" fmla="*/ 0 h 35765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837908" h="3576550">
                                <a:moveTo>
                                  <a:pt x="3837908" y="0"/>
                                </a:moveTo>
                                <a:lnTo>
                                  <a:pt x="3730943" y="0"/>
                                </a:lnTo>
                                <a:cubicBezTo>
                                  <a:pt x="3545205" y="1831372"/>
                                  <a:pt x="1986343" y="3143250"/>
                                  <a:pt x="89726" y="3143917"/>
                                </a:cubicBezTo>
                                <a:cubicBezTo>
                                  <a:pt x="59690" y="3143917"/>
                                  <a:pt x="29782" y="3143599"/>
                                  <a:pt x="0" y="3142964"/>
                                </a:cubicBezTo>
                                <a:lnTo>
                                  <a:pt x="0" y="3575590"/>
                                </a:lnTo>
                                <a:cubicBezTo>
                                  <a:pt x="29909" y="3576289"/>
                                  <a:pt x="59849" y="3576606"/>
                                  <a:pt x="89821" y="3576542"/>
                                </a:cubicBezTo>
                                <a:cubicBezTo>
                                  <a:pt x="2125790" y="3575876"/>
                                  <a:pt x="3782282" y="2019967"/>
                                  <a:pt x="3837908" y="0"/>
                                </a:cubicBezTo>
                                <a:close/>
                              </a:path>
                            </a:pathLst>
                          </a:custGeom>
                          <a:gradFill flip="none" rotWithShape="1">
                            <a:gsLst>
                              <a:gs pos="0">
                                <a:schemeClr val="accent6"/>
                              </a:gs>
                              <a:gs pos="100000">
                                <a:schemeClr val="accent6">
                                  <a:alpha val="30000"/>
                                </a:schemeClr>
                              </a:gs>
                            </a:gsLst>
                            <a:lin ang="2766000" scaled="0"/>
                            <a:tileRect/>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Graphic 12"/>
                        <wps:cNvSpPr/>
                        <wps:spPr>
                          <a:xfrm>
                            <a:off x="3269932" y="0"/>
                            <a:ext cx="123920" cy="748855"/>
                          </a:xfrm>
                          <a:custGeom>
                            <a:avLst/>
                            <a:gdLst>
                              <a:gd name="connsiteX0" fmla="*/ 123920 w 123920"/>
                              <a:gd name="connsiteY0" fmla="*/ 0 h 748855"/>
                              <a:gd name="connsiteX1" fmla="*/ 56388 w 123920"/>
                              <a:gd name="connsiteY1" fmla="*/ 0 h 748855"/>
                              <a:gd name="connsiteX2" fmla="*/ 58864 w 123920"/>
                              <a:gd name="connsiteY2" fmla="*/ 123158 h 748855"/>
                              <a:gd name="connsiteX3" fmla="*/ 0 w 123920"/>
                              <a:gd name="connsiteY3" fmla="*/ 748856 h 748855"/>
                              <a:gd name="connsiteX4" fmla="*/ 123920 w 123920"/>
                              <a:gd name="connsiteY4" fmla="*/ 0 h 74885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3920" h="748855">
                                <a:moveTo>
                                  <a:pt x="123920" y="0"/>
                                </a:moveTo>
                                <a:lnTo>
                                  <a:pt x="56388" y="0"/>
                                </a:lnTo>
                                <a:cubicBezTo>
                                  <a:pt x="57912" y="40862"/>
                                  <a:pt x="58864" y="81915"/>
                                  <a:pt x="58864" y="123158"/>
                                </a:cubicBezTo>
                                <a:cubicBezTo>
                                  <a:pt x="58888" y="333108"/>
                                  <a:pt x="39180" y="542594"/>
                                  <a:pt x="0" y="748856"/>
                                </a:cubicBezTo>
                                <a:cubicBezTo>
                                  <a:pt x="69909" y="504820"/>
                                  <a:pt x="111490" y="253547"/>
                                  <a:pt x="123920" y="0"/>
                                </a:cubicBezTo>
                                <a:close/>
                              </a:path>
                            </a:pathLst>
                          </a:custGeom>
                          <a:gradFill>
                            <a:gsLst>
                              <a:gs pos="0">
                                <a:schemeClr val="tx2"/>
                              </a:gs>
                              <a:gs pos="100000">
                                <a:schemeClr val="tx2">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Graphic 12"/>
                        <wps:cNvSpPr/>
                        <wps:spPr>
                          <a:xfrm>
                            <a:off x="0" y="0"/>
                            <a:ext cx="2996469" cy="3143916"/>
                          </a:xfrm>
                          <a:custGeom>
                            <a:avLst/>
                            <a:gdLst>
                              <a:gd name="connsiteX0" fmla="*/ 2793302 w 2996469"/>
                              <a:gd name="connsiteY0" fmla="*/ 16288 h 3143916"/>
                              <a:gd name="connsiteX1" fmla="*/ 89726 w 2996469"/>
                              <a:gd name="connsiteY1" fmla="*/ 2834545 h 3143916"/>
                              <a:gd name="connsiteX2" fmla="*/ 0 w 2996469"/>
                              <a:gd name="connsiteY2" fmla="*/ 2832735 h 3143916"/>
                              <a:gd name="connsiteX3" fmla="*/ 0 w 2996469"/>
                              <a:gd name="connsiteY3" fmla="*/ 3142488 h 3143916"/>
                              <a:gd name="connsiteX4" fmla="*/ 89726 w 2996469"/>
                              <a:gd name="connsiteY4" fmla="*/ 3143917 h 3143916"/>
                              <a:gd name="connsiteX5" fmla="*/ 2996470 w 2996469"/>
                              <a:gd name="connsiteY5" fmla="*/ 220980 h 3143916"/>
                              <a:gd name="connsiteX6" fmla="*/ 2988183 w 2996469"/>
                              <a:gd name="connsiteY6" fmla="*/ 0 h 3143916"/>
                              <a:gd name="connsiteX7" fmla="*/ 2793111 w 2996469"/>
                              <a:gd name="connsiteY7" fmla="*/ 0 h 3143916"/>
                              <a:gd name="connsiteX8" fmla="*/ 2793302 w 2996469"/>
                              <a:gd name="connsiteY8" fmla="*/ 16288 h 314391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2996469" h="3143916">
                                <a:moveTo>
                                  <a:pt x="2793302" y="16288"/>
                                </a:moveTo>
                                <a:cubicBezTo>
                                  <a:pt x="2793968" y="1510189"/>
                                  <a:pt x="1583627" y="2833878"/>
                                  <a:pt x="89726" y="2834545"/>
                                </a:cubicBezTo>
                                <a:cubicBezTo>
                                  <a:pt x="59722" y="2834545"/>
                                  <a:pt x="29813" y="2833783"/>
                                  <a:pt x="0" y="2832735"/>
                                </a:cubicBezTo>
                                <a:lnTo>
                                  <a:pt x="0" y="3142488"/>
                                </a:lnTo>
                                <a:cubicBezTo>
                                  <a:pt x="29813" y="3143345"/>
                                  <a:pt x="59722" y="3143917"/>
                                  <a:pt x="89726" y="3143917"/>
                                </a:cubicBezTo>
                                <a:cubicBezTo>
                                  <a:pt x="1695450" y="3143250"/>
                                  <a:pt x="2997137" y="1826705"/>
                                  <a:pt x="2996470" y="220980"/>
                                </a:cubicBezTo>
                                <a:cubicBezTo>
                                  <a:pt x="2996470" y="146495"/>
                                  <a:pt x="2993708" y="72835"/>
                                  <a:pt x="2988183" y="0"/>
                                </a:cubicBezTo>
                                <a:lnTo>
                                  <a:pt x="2793111" y="0"/>
                                </a:lnTo>
                                <a:cubicBezTo>
                                  <a:pt x="2793111" y="5429"/>
                                  <a:pt x="2793302" y="10859"/>
                                  <a:pt x="2793302" y="16288"/>
                                </a:cubicBezTo>
                                <a:close/>
                              </a:path>
                            </a:pathLst>
                          </a:custGeom>
                          <a:gradFill>
                            <a:gsLst>
                              <a:gs pos="0">
                                <a:schemeClr val="accent6"/>
                              </a:gs>
                              <a:gs pos="100000">
                                <a:schemeClr val="accent6">
                                  <a:alpha val="30000"/>
                                </a:schemeClr>
                              </a:gs>
                            </a:gsLst>
                            <a:lin ang="2766000" scaled="0"/>
                          </a:gra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svg="http://schemas.microsoft.com/office/drawing/2016/SVG/main" xmlns:a14="http://schemas.microsoft.com/office/drawing/2010/main" xmlns:pic="http://schemas.openxmlformats.org/drawingml/2006/picture" xmlns:a="http://schemas.openxmlformats.org/drawingml/2006/main">
            <w:pict>
              <v:group id="Graphic 12" style="position:absolute;margin-left:0;margin-top:0;width:193.05pt;height:179.7pt;z-index:251658245;mso-position-horizontal:left;mso-position-horizontal-relative:page;mso-position-vertical:top;mso-position-vertical-relative:page;mso-width-relative:margin;mso-height-relative:margin" coordsize="38379,35765" o:spid="_x0000_s1026" w14:anchorId="09060A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">
                <o:lock v:ext="edit" aspectratio="t"/>
                <v:shape id="_x0000_s1027" style="position:absolute;width:38379;height:35765;visibility:visible;mso-wrap-style:square;v-text-anchor:middle" coordsize="3837908,3576550" fillcolor="#13b5ea [3209]" stroked="f" path="m3837908,l3730943,c3545205,1831372,1986343,3143250,89726,3143917v-30036,,-59944,-318,-89726,-953l,3575590v29909,699,59849,1016,89821,952c2125790,3575876,3782282,2019967,383790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">
                  <v:fill type="gradient" color2="#13b5ea [3209]" angle="44" focus="100%" o:opacity2="19660f" rotate="t">
                    <o:fill v:ext="view" type="gradientUnscaled"/>
                  </v:fill>
                  <v:stroke joinstyle="miter"/>
                  <v:path arrowok="t" o:connecttype="custom" o:connectlocs="3837908,0;3730943,0;89726,3143917;0,3142964;0,3575590;89821,3576542;3837908,0" o:connectangles="0,0,0,0,0,0,0"/>
                </v:shape>
                <v:shape id="_x0000_s1028" style="position:absolute;left:32699;width:1239;height:7488;visibility:visible;mso-wrap-style:square;v-text-anchor:middle" coordsize="123920,748855" fillcolor="#0081c6 [3215]" stroked="f" path="m123920,l56388,v1524,40862,2476,81915,2476,123158c58888,333108,39180,542594,,748856,69909,504820,111490,253547,123920,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">
                  <v:fill type="gradient" color2="#0081c6 [3215]" angle="44" focus="100%" o:opacity2="19660f">
                    <o:fill v:ext="view" type="gradientUnscaled"/>
                  </v:fill>
                  <v:stroke joinstyle="miter"/>
                  <v:path arrowok="t" o:connecttype="custom" o:connectlocs="123920,0;56388,0;58864,123158;0,748856;123920,0" o:connectangles="0,0,0,0,0"/>
                </v:shape>
                <v:shape id="_x0000_s1029" style="position:absolute;width:29964;height:31439;visibility:visible;mso-wrap-style:square;v-text-anchor:middle" coordsize="2996469,3143916" fillcolor="#13b5ea [3209]" stroked="f" path="m2793302,16288c2793968,1510189,1583627,2833878,89726,2834545v-30004,,-59913,-762,-89726,-1810l,3142488v29813,857,59722,1429,89726,1429c1695450,3143250,2997137,1826705,2996470,220980v,-74485,-2762,-148145,-8287,-220980l2793111,v,5429,191,10859,191,16288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">
                  <v:fill type="gradient" color2="#13b5ea [3209]" angle="44" focus="100%" o:opacity2="19660f">
                    <o:fill v:ext="view" type="gradientUnscaled"/>
                  </v:fill>
                  <v:stroke joinstyle="miter"/>
                  <v:path arrowok="t" o:connecttype="custom" o:connectlocs="2793302,16288;89726,2834545;0,2832735;0,3142488;89726,3143917;2996470,220980;2988183,0;2793111,0;2793302,16288" o:connectangles="0,0,0,0,0,0,0,0,0"/>
                </v:shape>
                <w10:wrap anchorx="page" anchory="page"/>
                <w10:anchorlock/>
              </v:group>
            </w:pict>
          </mc:Fallback>
        </mc:AlternateContent>
      </w:r>
      <w:r w:rsidR="003E773D">
        <w:drawing>
          <wp:anchor distT="0" distB="0" distL="114300" distR="114300" simplePos="0" relativeHeight="251658244" behindDoc="0" locked="1" layoutInCell="1" allowOverlap="1" wp14:anchorId="640BEA08" wp14:editId="381E1078">
            <wp:simplePos x="0" y="0"/>
            <wp:positionH relativeFrom="page">
              <wp:posOffset>3960495</wp:posOffset>
            </wp:positionH>
            <wp:positionV relativeFrom="page">
              <wp:posOffset>450215</wp:posOffset>
            </wp:positionV>
            <wp:extent cx="2700000" cy="691200"/>
            <wp:effectExtent l="0" t="0" r="5715"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700000" cy="691200"/>
                    </a:xfrm>
                    <a:prstGeom prst="rect">
                      <a:avLst/>
                    </a:prstGeom>
                  </pic:spPr>
                </pic:pic>
              </a:graphicData>
            </a:graphic>
            <wp14:sizeRelH relativeFrom="margin">
              <wp14:pctWidth>0</wp14:pctWidth>
            </wp14:sizeRelH>
            <wp14:sizeRelV relativeFrom="margin">
              <wp14:pctHeight>0</wp14:pctHeight>
            </wp14:sizeRelV>
          </wp:anchor>
        </w:drawing>
      </w:r>
      <w:r w:rsidR="003E773D">
        <w:drawing>
          <wp:anchor distT="0" distB="0" distL="114300" distR="114300" simplePos="0" relativeHeight="251658243" behindDoc="1" locked="1" layoutInCell="1" allowOverlap="1" wp14:anchorId="746AA415" wp14:editId="3A25A753">
            <wp:simplePos x="0" y="0"/>
            <wp:positionH relativeFrom="page">
              <wp:align>right</wp:align>
            </wp:positionH>
            <wp:positionV relativeFrom="page">
              <wp:align>top</wp:align>
            </wp:positionV>
            <wp:extent cx="4831200" cy="1987200"/>
            <wp:effectExtent l="0" t="0" r="762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4831200" cy="1987200"/>
                    </a:xfrm>
                    <a:prstGeom prst="rect">
                      <a:avLst/>
                    </a:prstGeom>
                  </pic:spPr>
                </pic:pic>
              </a:graphicData>
            </a:graphic>
            <wp14:sizeRelH relativeFrom="margin">
              <wp14:pctWidth>0</wp14:pctWidth>
            </wp14:sizeRelH>
            <wp14:sizeRelV relativeFrom="margin">
              <wp14:pctHeight>0</wp14:pctHeight>
            </wp14:sizeRelV>
          </wp:anchor>
        </w:drawing>
      </w:r>
    </w:p>
    <w:p w14:paraId="39D59923" w14:textId="36865B6F" w:rsidR="00490A46" w:rsidRPr="00A463FC" w:rsidRDefault="6D770049" w:rsidP="00420041">
      <w:pPr>
        <w:pStyle w:val="Subtitle"/>
        <w:spacing w:line="276" w:lineRule="auto"/>
        <w:rPr>
          <w:rFonts w:asciiTheme="majorHAnsi" w:hAnsiTheme="majorHAnsi" w:cstheme="majorHAnsi"/>
        </w:rPr>
      </w:pPr>
      <w:r w:rsidRPr="00A463FC">
        <w:rPr>
          <w:rFonts w:asciiTheme="majorHAnsi" w:hAnsiTheme="majorHAnsi" w:cstheme="majorHAnsi"/>
        </w:rPr>
        <w:t>SOGIESC</w:t>
      </w:r>
      <w:r w:rsidR="00490A46" w:rsidRPr="00A463FC">
        <w:rPr>
          <w:rFonts w:asciiTheme="majorHAnsi" w:hAnsiTheme="majorHAnsi" w:cstheme="majorHAnsi"/>
        </w:rPr>
        <w:t xml:space="preserve"> Fact Sheet Series</w:t>
      </w:r>
    </w:p>
    <w:p w14:paraId="5260A77C" w14:textId="67B98D6B" w:rsidR="00490A46" w:rsidRPr="00A463FC" w:rsidRDefault="00490A46" w:rsidP="00420041">
      <w:pPr>
        <w:pStyle w:val="Title"/>
        <w:spacing w:line="276" w:lineRule="auto"/>
        <w:rPr>
          <w:rFonts w:asciiTheme="majorHAnsi" w:hAnsiTheme="majorHAnsi" w:cstheme="majorHAnsi"/>
        </w:rPr>
      </w:pPr>
      <w:r w:rsidRPr="00A463FC">
        <w:rPr>
          <w:rFonts w:asciiTheme="majorHAnsi" w:hAnsiTheme="majorHAnsi" w:cstheme="majorHAnsi"/>
        </w:rPr>
        <w:t xml:space="preserve">Fact Sheet </w:t>
      </w:r>
      <w:r w:rsidR="00BF0913">
        <w:rPr>
          <w:rFonts w:asciiTheme="majorHAnsi" w:hAnsiTheme="majorHAnsi" w:cstheme="majorHAnsi"/>
        </w:rPr>
        <w:t>2</w:t>
      </w:r>
      <w:r w:rsidRPr="00A463FC">
        <w:rPr>
          <w:rFonts w:asciiTheme="majorHAnsi" w:hAnsiTheme="majorHAnsi" w:cstheme="majorHAnsi"/>
        </w:rPr>
        <w:t xml:space="preserve">: </w:t>
      </w:r>
      <w:r w:rsidRPr="00A463FC">
        <w:rPr>
          <w:rFonts w:asciiTheme="majorHAnsi" w:hAnsiTheme="majorHAnsi" w:cstheme="majorHAnsi"/>
        </w:rPr>
        <w:br/>
      </w:r>
      <w:r w:rsidR="00BF0913">
        <w:rPr>
          <w:rFonts w:asciiTheme="majorHAnsi" w:hAnsiTheme="majorHAnsi" w:cstheme="majorHAnsi"/>
        </w:rPr>
        <w:t>Being Lesbian, Gay a</w:t>
      </w:r>
      <w:r w:rsidR="00B2124C">
        <w:rPr>
          <w:rFonts w:asciiTheme="majorHAnsi" w:hAnsiTheme="majorHAnsi" w:cstheme="majorHAnsi"/>
        </w:rPr>
        <w:t>nd Bisexual</w:t>
      </w:r>
      <w:r w:rsidR="00684F1B">
        <w:rPr>
          <w:rFonts w:asciiTheme="majorHAnsi" w:hAnsiTheme="majorHAnsi" w:cstheme="majorHAnsi"/>
        </w:rPr>
        <w:t xml:space="preserve"> in Asia Pacific</w:t>
      </w:r>
    </w:p>
    <w:p w14:paraId="76F1FCBC" w14:textId="4E7162EB" w:rsidR="00E10AA0" w:rsidRPr="00A463FC" w:rsidRDefault="0042327D" w:rsidP="00420041">
      <w:pPr>
        <w:pStyle w:val="Heading1"/>
        <w:spacing w:line="276" w:lineRule="auto"/>
        <w:rPr>
          <w:rFonts w:asciiTheme="majorHAnsi" w:hAnsiTheme="majorHAnsi" w:cstheme="majorHAnsi"/>
        </w:rPr>
      </w:pPr>
      <w:r w:rsidRPr="00A463FC">
        <w:rPr>
          <w:rFonts w:asciiTheme="majorHAnsi" w:hAnsiTheme="majorHAnsi" w:cstheme="majorHAnsi"/>
        </w:rPr>
        <w:t>Introduction</w:t>
      </w:r>
    </w:p>
    <w:p w14:paraId="2EC3EA53" w14:textId="5782EED3" w:rsidR="006F7E14" w:rsidRDefault="006F7E14" w:rsidP="00420041">
      <w:pPr>
        <w:spacing w:after="120" w:line="276" w:lineRule="auto"/>
        <w:jc w:val="both"/>
        <w:rPr>
          <w:rFonts w:asciiTheme="minorHAnsi" w:eastAsiaTheme="minorEastAsia" w:hAnsiTheme="minorHAnsi" w:cstheme="minorBidi"/>
          <w:sz w:val="20"/>
          <w:szCs w:val="20"/>
          <w:lang w:eastAsia="zh-CN"/>
        </w:rPr>
      </w:pPr>
      <w:r w:rsidRPr="006F7E14">
        <w:rPr>
          <w:rFonts w:asciiTheme="minorHAnsi" w:eastAsiaTheme="minorEastAsia" w:hAnsiTheme="minorHAnsi" w:cstheme="minorBidi"/>
          <w:sz w:val="20"/>
          <w:szCs w:val="20"/>
          <w:lang w:eastAsia="zh-CN"/>
        </w:rPr>
        <w:t xml:space="preserve">Criminal laws, </w:t>
      </w:r>
      <w:r w:rsidR="00204151" w:rsidRPr="006F7E14">
        <w:rPr>
          <w:rFonts w:asciiTheme="minorHAnsi" w:eastAsiaTheme="minorEastAsia" w:hAnsiTheme="minorHAnsi" w:cstheme="minorBidi"/>
          <w:sz w:val="20"/>
          <w:szCs w:val="20"/>
          <w:lang w:eastAsia="zh-CN"/>
        </w:rPr>
        <w:t>violence,</w:t>
      </w:r>
      <w:r w:rsidRPr="006F7E14">
        <w:rPr>
          <w:rFonts w:asciiTheme="minorHAnsi" w:eastAsiaTheme="minorEastAsia" w:hAnsiTheme="minorHAnsi" w:cstheme="minorBidi"/>
          <w:sz w:val="20"/>
          <w:szCs w:val="20"/>
          <w:lang w:eastAsia="zh-CN"/>
        </w:rPr>
        <w:t xml:space="preserve"> and discrimination target lesbian, gay and bisexual (LGB) people because of their sexual orientation. These issues are frequently raised in recommendations by other countries during the Human Rights Council’s Universal Periodic Review process. Often, lesbian, </w:t>
      </w:r>
      <w:proofErr w:type="gramStart"/>
      <w:r w:rsidRPr="006F7E14">
        <w:rPr>
          <w:rFonts w:asciiTheme="minorHAnsi" w:eastAsiaTheme="minorEastAsia" w:hAnsiTheme="minorHAnsi" w:cstheme="minorBidi"/>
          <w:sz w:val="20"/>
          <w:szCs w:val="20"/>
          <w:lang w:eastAsia="zh-CN"/>
        </w:rPr>
        <w:t>gay</w:t>
      </w:r>
      <w:proofErr w:type="gramEnd"/>
      <w:r w:rsidRPr="006F7E14">
        <w:rPr>
          <w:rFonts w:asciiTheme="minorHAnsi" w:eastAsiaTheme="minorEastAsia" w:hAnsiTheme="minorHAnsi" w:cstheme="minorBidi"/>
          <w:sz w:val="20"/>
          <w:szCs w:val="20"/>
          <w:lang w:eastAsia="zh-CN"/>
        </w:rPr>
        <w:t xml:space="preserve"> and bisexual people’s experiences are compounded by intersectional discrimination and disadvantage. For example, violence against lesbian and bisexual women often occurs within the </w:t>
      </w:r>
      <w:proofErr w:type="gramStart"/>
      <w:r w:rsidRPr="006F7E14">
        <w:rPr>
          <w:rFonts w:asciiTheme="minorHAnsi" w:eastAsiaTheme="minorEastAsia" w:hAnsiTheme="minorHAnsi" w:cstheme="minorBidi"/>
          <w:sz w:val="20"/>
          <w:szCs w:val="20"/>
          <w:lang w:eastAsia="zh-CN"/>
        </w:rPr>
        <w:t>family, and</w:t>
      </w:r>
      <w:proofErr w:type="gramEnd"/>
      <w:r w:rsidRPr="006F7E14">
        <w:rPr>
          <w:rFonts w:asciiTheme="minorHAnsi" w:eastAsiaTheme="minorEastAsia" w:hAnsiTheme="minorHAnsi" w:cstheme="minorBidi"/>
          <w:sz w:val="20"/>
          <w:szCs w:val="20"/>
          <w:lang w:eastAsia="zh-CN"/>
        </w:rPr>
        <w:t xml:space="preserve"> could be incorporated into an NHRI’s work on gender-based violence.</w:t>
      </w:r>
    </w:p>
    <w:p w14:paraId="5510EE6A" w14:textId="28336DF7" w:rsidR="00AD6DB4" w:rsidRPr="006F7E14" w:rsidRDefault="00AD6DB4" w:rsidP="00420041">
      <w:pPr>
        <w:pStyle w:val="Heading1"/>
        <w:spacing w:line="276" w:lineRule="auto"/>
        <w:rPr>
          <w:rFonts w:asciiTheme="majorHAnsi" w:hAnsiTheme="majorHAnsi" w:cstheme="majorHAnsi"/>
        </w:rPr>
      </w:pPr>
      <w:r w:rsidRPr="00AD6DB4">
        <w:rPr>
          <w:rFonts w:asciiTheme="majorHAnsi" w:hAnsiTheme="majorHAnsi" w:cstheme="majorHAnsi"/>
        </w:rPr>
        <w:t>Human Rights Issues</w:t>
      </w:r>
    </w:p>
    <w:p w14:paraId="1D4048A6" w14:textId="77777777" w:rsidR="006C2EDD" w:rsidRPr="006C2EDD" w:rsidRDefault="006C2EDD" w:rsidP="00420041">
      <w:pPr>
        <w:spacing w:after="120" w:line="276" w:lineRule="auto"/>
        <w:jc w:val="both"/>
        <w:rPr>
          <w:rFonts w:asciiTheme="minorHAnsi" w:eastAsiaTheme="minorEastAsia" w:hAnsiTheme="minorHAnsi" w:cstheme="minorBidi"/>
          <w:sz w:val="20"/>
          <w:szCs w:val="20"/>
          <w:lang w:eastAsia="zh-CN"/>
        </w:rPr>
      </w:pPr>
      <w:r w:rsidRPr="006C2EDD">
        <w:rPr>
          <w:rFonts w:asciiTheme="minorHAnsi" w:eastAsiaTheme="minorEastAsia" w:hAnsiTheme="minorHAnsi" w:cstheme="minorBidi"/>
          <w:sz w:val="20"/>
          <w:szCs w:val="20"/>
          <w:lang w:eastAsia="zh-CN"/>
        </w:rPr>
        <w:t>The factsheet focuses on four key human rights issues for lesbians and gay and bisexual people in the region, followed by some examples of relevant work done by NHRIs in Asia Pacific. </w:t>
      </w:r>
    </w:p>
    <w:p w14:paraId="01543774" w14:textId="0E6B0380" w:rsidR="006C2EDD" w:rsidRDefault="006C2EDD" w:rsidP="00420041">
      <w:pPr>
        <w:spacing w:after="120" w:line="276" w:lineRule="auto"/>
        <w:jc w:val="both"/>
        <w:rPr>
          <w:rFonts w:asciiTheme="minorHAnsi" w:eastAsiaTheme="minorEastAsia" w:hAnsiTheme="minorHAnsi" w:cstheme="minorBidi"/>
          <w:sz w:val="20"/>
          <w:szCs w:val="20"/>
          <w:lang w:eastAsia="zh-CN"/>
        </w:rPr>
      </w:pPr>
      <w:r w:rsidRPr="006C2EDD">
        <w:rPr>
          <w:rFonts w:asciiTheme="minorHAnsi" w:eastAsiaTheme="minorEastAsia" w:hAnsiTheme="minorHAnsi" w:cstheme="minorBidi"/>
          <w:sz w:val="20"/>
          <w:szCs w:val="20"/>
          <w:lang w:eastAsia="zh-CN"/>
        </w:rPr>
        <w:t xml:space="preserve">Each section starts with a summary table of available relevant statistics about the situation for LGB people in Asia and in Oceania (the Pacific, Australia and New Zealand) compared </w:t>
      </w:r>
      <w:proofErr w:type="gramStart"/>
      <w:r w:rsidRPr="006C2EDD">
        <w:rPr>
          <w:rFonts w:asciiTheme="minorHAnsi" w:eastAsiaTheme="minorEastAsia" w:hAnsiTheme="minorHAnsi" w:cstheme="minorBidi"/>
          <w:sz w:val="20"/>
          <w:szCs w:val="20"/>
          <w:lang w:eastAsia="zh-CN"/>
        </w:rPr>
        <w:t>to  UN</w:t>
      </w:r>
      <w:proofErr w:type="gramEnd"/>
      <w:r w:rsidRPr="006C2EDD">
        <w:rPr>
          <w:rFonts w:asciiTheme="minorHAnsi" w:eastAsiaTheme="minorEastAsia" w:hAnsiTheme="minorHAnsi" w:cstheme="minorBidi"/>
          <w:sz w:val="20"/>
          <w:szCs w:val="20"/>
          <w:lang w:eastAsia="zh-CN"/>
        </w:rPr>
        <w:t xml:space="preserve"> member states globally. These are drawn from ILGA World’s 2020 State-Sponsored Homophobia report. </w:t>
      </w:r>
    </w:p>
    <w:p w14:paraId="3A7203B1" w14:textId="77777777" w:rsidR="00420041" w:rsidRPr="006C2EDD" w:rsidRDefault="00420041" w:rsidP="00420041">
      <w:pPr>
        <w:spacing w:after="120" w:line="276" w:lineRule="auto"/>
        <w:jc w:val="both"/>
        <w:rPr>
          <w:rFonts w:asciiTheme="minorHAnsi" w:eastAsiaTheme="minorEastAsia" w:hAnsiTheme="minorHAnsi" w:cstheme="minorBidi"/>
          <w:sz w:val="20"/>
          <w:szCs w:val="20"/>
          <w:lang w:eastAsia="zh-CN"/>
        </w:rPr>
      </w:pPr>
    </w:p>
    <w:p w14:paraId="7AA54CCD" w14:textId="0DD660DE" w:rsidR="006B7659" w:rsidRPr="00505E9A" w:rsidRDefault="005068F4" w:rsidP="00420041">
      <w:pPr>
        <w:pStyle w:val="ListParagraph"/>
        <w:numPr>
          <w:ilvl w:val="0"/>
          <w:numId w:val="20"/>
        </w:numPr>
        <w:spacing w:after="120" w:line="276" w:lineRule="auto"/>
        <w:rPr>
          <w:rStyle w:val="normaltextrun"/>
          <w:rFonts w:asciiTheme="majorHAnsi" w:hAnsiTheme="majorHAnsi" w:cstheme="majorHAnsi"/>
          <w:b/>
          <w:bCs/>
          <w:color w:val="808285"/>
          <w:sz w:val="23"/>
          <w:szCs w:val="23"/>
          <w:shd w:val="clear" w:color="auto" w:fill="FFFFFF"/>
        </w:rPr>
      </w:pPr>
      <w:r w:rsidRPr="005068F4">
        <w:rPr>
          <w:rStyle w:val="normaltextrun"/>
          <w:rFonts w:asciiTheme="majorHAnsi" w:hAnsiTheme="majorHAnsi" w:cstheme="majorHAnsi"/>
          <w:b/>
          <w:bCs/>
          <w:color w:val="808285"/>
          <w:sz w:val="23"/>
          <w:szCs w:val="23"/>
          <w:shd w:val="clear" w:color="auto" w:fill="FFFFFF"/>
        </w:rPr>
        <w:t>Dignity and criminalisation</w:t>
      </w:r>
      <w:r w:rsidRPr="005068F4">
        <w:rPr>
          <w:rStyle w:val="normaltextrun"/>
          <w:rFonts w:asciiTheme="majorHAnsi" w:hAnsiTheme="majorHAnsi" w:cstheme="majorHAnsi"/>
          <w:color w:val="808285"/>
          <w:sz w:val="23"/>
          <w:szCs w:val="23"/>
          <w:shd w:val="clear" w:color="auto" w:fill="FFFFFF"/>
        </w:rPr>
        <w:t> </w:t>
      </w:r>
    </w:p>
    <w:p w14:paraId="0DF2B8EA" w14:textId="77777777" w:rsidR="006B6F6D" w:rsidRPr="00D629B1" w:rsidRDefault="006B6F6D" w:rsidP="00420041">
      <w:pPr>
        <w:spacing w:after="120" w:line="276" w:lineRule="auto"/>
        <w:rPr>
          <w:rStyle w:val="normaltextrun"/>
          <w:rFonts w:asciiTheme="majorHAnsi" w:hAnsiTheme="majorHAnsi" w:cstheme="majorHAnsi"/>
          <w:b/>
          <w:bCs/>
          <w:color w:val="808285"/>
          <w:sz w:val="23"/>
          <w:szCs w:val="23"/>
          <w:shd w:val="clear" w:color="auto" w:fill="FFFFFF"/>
        </w:rPr>
      </w:pPr>
    </w:p>
    <w:tbl>
      <w:tblPr>
        <w:tblStyle w:val="APFTable"/>
        <w:tblW w:w="0" w:type="auto"/>
        <w:tblLook w:val="04A0" w:firstRow="1" w:lastRow="0" w:firstColumn="1" w:lastColumn="0" w:noHBand="0" w:noVBand="1"/>
      </w:tblPr>
      <w:tblGrid>
        <w:gridCol w:w="4895"/>
        <w:gridCol w:w="848"/>
        <w:gridCol w:w="849"/>
        <w:gridCol w:w="631"/>
        <w:gridCol w:w="617"/>
        <w:gridCol w:w="583"/>
        <w:gridCol w:w="617"/>
      </w:tblGrid>
      <w:tr w:rsidR="00BE7A4F" w:rsidRPr="00BE7A4F" w14:paraId="6DFFC767" w14:textId="77777777" w:rsidTr="009C1314">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4957" w:type="dxa"/>
            <w:hideMark/>
          </w:tcPr>
          <w:p w14:paraId="775E51BD" w14:textId="77777777" w:rsidR="00BE7A4F" w:rsidRPr="00BE7A4F" w:rsidRDefault="00BE7A4F" w:rsidP="00420041">
            <w:pPr>
              <w:pStyle w:val="ListParagraph"/>
              <w:spacing w:line="276" w:lineRule="auto"/>
            </w:pPr>
          </w:p>
        </w:tc>
        <w:tc>
          <w:tcPr>
            <w:tcW w:w="1701" w:type="dxa"/>
            <w:gridSpan w:val="2"/>
            <w:hideMark/>
          </w:tcPr>
          <w:p w14:paraId="7872BDE9" w14:textId="77777777" w:rsidR="00BE7A4F" w:rsidRPr="00BE7A4F" w:rsidRDefault="00BE7A4F" w:rsidP="00420041">
            <w:pPr>
              <w:spacing w:line="276" w:lineRule="auto"/>
              <w:jc w:val="center"/>
              <w:cnfStyle w:val="100000000000" w:firstRow="1" w:lastRow="0" w:firstColumn="0" w:lastColumn="0" w:oddVBand="0" w:evenVBand="0" w:oddHBand="0" w:evenHBand="0" w:firstRowFirstColumn="0" w:firstRowLastColumn="0" w:lastRowFirstColumn="0" w:lastRowLastColumn="0"/>
            </w:pPr>
            <w:proofErr w:type="gramStart"/>
            <w:r w:rsidRPr="00BE7A4F">
              <w:rPr>
                <w:rFonts w:ascii="Arial" w:hAnsi="Arial" w:cs="Arial"/>
                <w:bCs/>
                <w:sz w:val="22"/>
                <w:szCs w:val="22"/>
              </w:rPr>
              <w:t>UN  Member</w:t>
            </w:r>
            <w:proofErr w:type="gramEnd"/>
            <w:r w:rsidRPr="00BE7A4F">
              <w:rPr>
                <w:rFonts w:ascii="Arial" w:hAnsi="Arial" w:cs="Arial"/>
                <w:bCs/>
                <w:sz w:val="22"/>
                <w:szCs w:val="22"/>
              </w:rPr>
              <w:t xml:space="preserve"> States</w:t>
            </w:r>
          </w:p>
        </w:tc>
        <w:tc>
          <w:tcPr>
            <w:tcW w:w="1234" w:type="dxa"/>
            <w:gridSpan w:val="2"/>
            <w:hideMark/>
          </w:tcPr>
          <w:p w14:paraId="64EC9664" w14:textId="77777777" w:rsidR="00BE7A4F" w:rsidRPr="00BE7A4F" w:rsidRDefault="00BE7A4F" w:rsidP="00420041">
            <w:pPr>
              <w:spacing w:line="276" w:lineRule="auto"/>
              <w:jc w:val="center"/>
              <w:cnfStyle w:val="100000000000" w:firstRow="1" w:lastRow="0" w:firstColumn="0" w:lastColumn="0" w:oddVBand="0" w:evenVBand="0" w:oddHBand="0" w:evenHBand="0" w:firstRowFirstColumn="0" w:firstRowLastColumn="0" w:lastRowFirstColumn="0" w:lastRowLastColumn="0"/>
            </w:pPr>
            <w:r w:rsidRPr="00BE7A4F">
              <w:rPr>
                <w:rFonts w:ascii="Arial" w:hAnsi="Arial" w:cs="Arial"/>
                <w:bCs/>
                <w:sz w:val="22"/>
                <w:szCs w:val="22"/>
              </w:rPr>
              <w:t>Oceania</w:t>
            </w:r>
          </w:p>
        </w:tc>
        <w:tc>
          <w:tcPr>
            <w:tcW w:w="0" w:type="auto"/>
            <w:gridSpan w:val="2"/>
            <w:hideMark/>
          </w:tcPr>
          <w:p w14:paraId="6352792E" w14:textId="77777777" w:rsidR="00BE7A4F" w:rsidRPr="00BE7A4F" w:rsidRDefault="00BE7A4F" w:rsidP="00420041">
            <w:pPr>
              <w:spacing w:line="276" w:lineRule="auto"/>
              <w:jc w:val="center"/>
              <w:cnfStyle w:val="100000000000" w:firstRow="1" w:lastRow="0" w:firstColumn="0" w:lastColumn="0" w:oddVBand="0" w:evenVBand="0" w:oddHBand="0" w:evenHBand="0" w:firstRowFirstColumn="0" w:firstRowLastColumn="0" w:lastRowFirstColumn="0" w:lastRowLastColumn="0"/>
            </w:pPr>
            <w:r w:rsidRPr="00BE7A4F">
              <w:rPr>
                <w:rFonts w:ascii="Arial" w:hAnsi="Arial" w:cs="Arial"/>
                <w:bCs/>
                <w:sz w:val="22"/>
                <w:szCs w:val="22"/>
              </w:rPr>
              <w:t>Asia</w:t>
            </w:r>
          </w:p>
        </w:tc>
      </w:tr>
      <w:tr w:rsidR="009C1314" w:rsidRPr="00BE7A4F" w14:paraId="0D9D48AF" w14:textId="77777777" w:rsidTr="009C131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4957" w:type="dxa"/>
            <w:hideMark/>
          </w:tcPr>
          <w:p w14:paraId="0891B7A0" w14:textId="77777777" w:rsidR="00BE7A4F" w:rsidRPr="00BE7A4F" w:rsidRDefault="00BE7A4F" w:rsidP="00420041">
            <w:pPr>
              <w:spacing w:line="276" w:lineRule="auto"/>
            </w:pPr>
            <w:r w:rsidRPr="00BE7A4F">
              <w:t> </w:t>
            </w:r>
          </w:p>
        </w:tc>
        <w:tc>
          <w:tcPr>
            <w:tcW w:w="850" w:type="dxa"/>
            <w:hideMark/>
          </w:tcPr>
          <w:p w14:paraId="593E3CAE"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i/>
                <w:iCs/>
                <w:color w:val="000000"/>
                <w:sz w:val="20"/>
                <w:szCs w:val="20"/>
              </w:rPr>
              <w:t>No.</w:t>
            </w:r>
          </w:p>
        </w:tc>
        <w:tc>
          <w:tcPr>
            <w:tcW w:w="851" w:type="dxa"/>
            <w:hideMark/>
          </w:tcPr>
          <w:p w14:paraId="43AACAF5"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i/>
                <w:iCs/>
                <w:color w:val="000000"/>
                <w:sz w:val="20"/>
                <w:szCs w:val="20"/>
              </w:rPr>
              <w:t>%</w:t>
            </w:r>
          </w:p>
        </w:tc>
        <w:tc>
          <w:tcPr>
            <w:tcW w:w="633" w:type="dxa"/>
            <w:hideMark/>
          </w:tcPr>
          <w:p w14:paraId="0A38FA7D"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i/>
                <w:iCs/>
                <w:color w:val="000000"/>
                <w:sz w:val="20"/>
                <w:szCs w:val="20"/>
              </w:rPr>
              <w:t>No.</w:t>
            </w:r>
          </w:p>
        </w:tc>
        <w:tc>
          <w:tcPr>
            <w:tcW w:w="0" w:type="auto"/>
            <w:hideMark/>
          </w:tcPr>
          <w:p w14:paraId="46EE4CF3"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i/>
                <w:iCs/>
                <w:color w:val="000000"/>
                <w:sz w:val="20"/>
                <w:szCs w:val="20"/>
              </w:rPr>
              <w:t>%</w:t>
            </w:r>
          </w:p>
        </w:tc>
        <w:tc>
          <w:tcPr>
            <w:tcW w:w="0" w:type="auto"/>
            <w:hideMark/>
          </w:tcPr>
          <w:p w14:paraId="3F0AE151"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i/>
                <w:iCs/>
                <w:color w:val="000000"/>
                <w:sz w:val="20"/>
                <w:szCs w:val="20"/>
              </w:rPr>
              <w:t>No. </w:t>
            </w:r>
          </w:p>
        </w:tc>
        <w:tc>
          <w:tcPr>
            <w:tcW w:w="0" w:type="auto"/>
            <w:hideMark/>
          </w:tcPr>
          <w:p w14:paraId="1F72AE81"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i/>
                <w:iCs/>
                <w:color w:val="000000"/>
                <w:sz w:val="20"/>
                <w:szCs w:val="20"/>
              </w:rPr>
              <w:t>%</w:t>
            </w:r>
          </w:p>
        </w:tc>
      </w:tr>
      <w:tr w:rsidR="009C1314" w:rsidRPr="00BE7A4F" w14:paraId="01DE211D" w14:textId="77777777" w:rsidTr="009C1314">
        <w:trPr>
          <w:cnfStyle w:val="000000010000" w:firstRow="0" w:lastRow="0" w:firstColumn="0" w:lastColumn="0" w:oddVBand="0" w:evenVBand="0" w:oddHBand="0" w:evenHBand="1" w:firstRowFirstColumn="0" w:firstRowLastColumn="0" w:lastRowFirstColumn="0" w:lastRowLastColumn="0"/>
          <w:trHeight w:val="770"/>
        </w:trPr>
        <w:tc>
          <w:tcPr>
            <w:cnfStyle w:val="001000000000" w:firstRow="0" w:lastRow="0" w:firstColumn="1" w:lastColumn="0" w:oddVBand="0" w:evenVBand="0" w:oddHBand="0" w:evenHBand="0" w:firstRowFirstColumn="0" w:firstRowLastColumn="0" w:lastRowFirstColumn="0" w:lastRowLastColumn="0"/>
            <w:tcW w:w="4957" w:type="dxa"/>
            <w:hideMark/>
          </w:tcPr>
          <w:p w14:paraId="65FA0F6E" w14:textId="77777777" w:rsidR="00BE7A4F" w:rsidRPr="007374C4" w:rsidRDefault="00BE7A4F" w:rsidP="00420041">
            <w:pPr>
              <w:spacing w:line="276" w:lineRule="auto"/>
              <w:rPr>
                <w:rFonts w:asciiTheme="majorHAnsi" w:hAnsiTheme="majorHAnsi" w:cstheme="majorHAnsi"/>
                <w:sz w:val="20"/>
                <w:szCs w:val="20"/>
              </w:rPr>
            </w:pPr>
            <w:r w:rsidRPr="007374C4">
              <w:rPr>
                <w:rFonts w:asciiTheme="majorHAnsi" w:hAnsiTheme="majorHAnsi" w:cstheme="majorHAnsi"/>
                <w:sz w:val="20"/>
                <w:szCs w:val="20"/>
              </w:rPr>
              <w:lastRenderedPageBreak/>
              <w:t>Death penalty for consensual same-sex sexual acts </w:t>
            </w:r>
          </w:p>
        </w:tc>
        <w:tc>
          <w:tcPr>
            <w:tcW w:w="850" w:type="dxa"/>
            <w:hideMark/>
          </w:tcPr>
          <w:p w14:paraId="452ECF18"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6</w:t>
            </w:r>
          </w:p>
        </w:tc>
        <w:tc>
          <w:tcPr>
            <w:tcW w:w="851" w:type="dxa"/>
            <w:hideMark/>
          </w:tcPr>
          <w:p w14:paraId="2FCBA748"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3%</w:t>
            </w:r>
          </w:p>
        </w:tc>
        <w:tc>
          <w:tcPr>
            <w:tcW w:w="633" w:type="dxa"/>
            <w:hideMark/>
          </w:tcPr>
          <w:p w14:paraId="32DD4DA6"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0</w:t>
            </w:r>
          </w:p>
        </w:tc>
        <w:tc>
          <w:tcPr>
            <w:tcW w:w="0" w:type="auto"/>
            <w:hideMark/>
          </w:tcPr>
          <w:p w14:paraId="6EF8A0A2"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0%</w:t>
            </w:r>
          </w:p>
        </w:tc>
        <w:tc>
          <w:tcPr>
            <w:tcW w:w="0" w:type="auto"/>
            <w:hideMark/>
          </w:tcPr>
          <w:p w14:paraId="5337640E"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4</w:t>
            </w:r>
          </w:p>
        </w:tc>
        <w:tc>
          <w:tcPr>
            <w:tcW w:w="0" w:type="auto"/>
            <w:hideMark/>
          </w:tcPr>
          <w:p w14:paraId="0F065B02"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10%</w:t>
            </w:r>
          </w:p>
        </w:tc>
      </w:tr>
      <w:tr w:rsidR="009C1314" w:rsidRPr="00BE7A4F" w14:paraId="1DF6FA3D" w14:textId="77777777" w:rsidTr="00E97169">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4957" w:type="dxa"/>
            <w:hideMark/>
          </w:tcPr>
          <w:p w14:paraId="41A910A7" w14:textId="77777777" w:rsidR="00BE7A4F" w:rsidRPr="007374C4" w:rsidRDefault="00BE7A4F" w:rsidP="00420041">
            <w:pPr>
              <w:spacing w:line="276" w:lineRule="auto"/>
              <w:rPr>
                <w:rFonts w:asciiTheme="majorHAnsi" w:hAnsiTheme="majorHAnsi" w:cstheme="majorHAnsi"/>
                <w:sz w:val="20"/>
                <w:szCs w:val="20"/>
              </w:rPr>
            </w:pPr>
            <w:r w:rsidRPr="007374C4">
              <w:rPr>
                <w:rFonts w:asciiTheme="majorHAnsi" w:hAnsiTheme="majorHAnsi" w:cstheme="majorHAnsi"/>
                <w:sz w:val="20"/>
                <w:szCs w:val="20"/>
              </w:rPr>
              <w:t>Death penalty- not full legal certainty this is the established punishment </w:t>
            </w:r>
          </w:p>
        </w:tc>
        <w:tc>
          <w:tcPr>
            <w:tcW w:w="850" w:type="dxa"/>
            <w:hideMark/>
          </w:tcPr>
          <w:p w14:paraId="0DF0BC93"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color w:val="000000"/>
                <w:sz w:val="20"/>
                <w:szCs w:val="20"/>
              </w:rPr>
              <w:t>5</w:t>
            </w:r>
          </w:p>
        </w:tc>
        <w:tc>
          <w:tcPr>
            <w:tcW w:w="851" w:type="dxa"/>
            <w:hideMark/>
          </w:tcPr>
          <w:p w14:paraId="677F1F14"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color w:val="000000"/>
                <w:sz w:val="20"/>
                <w:szCs w:val="20"/>
              </w:rPr>
              <w:t>3%</w:t>
            </w:r>
          </w:p>
        </w:tc>
        <w:tc>
          <w:tcPr>
            <w:tcW w:w="633" w:type="dxa"/>
            <w:hideMark/>
          </w:tcPr>
          <w:p w14:paraId="12D82DA4"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color w:val="000000"/>
                <w:sz w:val="20"/>
                <w:szCs w:val="20"/>
              </w:rPr>
              <w:t>0</w:t>
            </w:r>
          </w:p>
        </w:tc>
        <w:tc>
          <w:tcPr>
            <w:tcW w:w="0" w:type="auto"/>
            <w:hideMark/>
          </w:tcPr>
          <w:p w14:paraId="0A5BAB39"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color w:val="000000"/>
                <w:sz w:val="20"/>
                <w:szCs w:val="20"/>
              </w:rPr>
              <w:t>0%</w:t>
            </w:r>
          </w:p>
        </w:tc>
        <w:tc>
          <w:tcPr>
            <w:tcW w:w="0" w:type="auto"/>
            <w:hideMark/>
          </w:tcPr>
          <w:p w14:paraId="79C4577C"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color w:val="000000"/>
                <w:sz w:val="20"/>
                <w:szCs w:val="20"/>
              </w:rPr>
              <w:t>4</w:t>
            </w:r>
          </w:p>
        </w:tc>
        <w:tc>
          <w:tcPr>
            <w:tcW w:w="0" w:type="auto"/>
            <w:hideMark/>
          </w:tcPr>
          <w:p w14:paraId="7C5D2F92" w14:textId="77777777" w:rsidR="00BE7A4F" w:rsidRPr="00BE7A4F" w:rsidRDefault="00BE7A4F" w:rsidP="00420041">
            <w:pPr>
              <w:spacing w:line="276" w:lineRule="auto"/>
              <w:cnfStyle w:val="000000100000" w:firstRow="0" w:lastRow="0" w:firstColumn="0" w:lastColumn="0" w:oddVBand="0" w:evenVBand="0" w:oddHBand="1" w:evenHBand="0" w:firstRowFirstColumn="0" w:firstRowLastColumn="0" w:lastRowFirstColumn="0" w:lastRowLastColumn="0"/>
            </w:pPr>
            <w:r w:rsidRPr="00BE7A4F">
              <w:rPr>
                <w:rFonts w:ascii="Arial" w:hAnsi="Arial" w:cs="Arial"/>
                <w:color w:val="000000"/>
                <w:sz w:val="20"/>
                <w:szCs w:val="20"/>
              </w:rPr>
              <w:t>10%</w:t>
            </w:r>
          </w:p>
        </w:tc>
      </w:tr>
      <w:tr w:rsidR="009C1314" w:rsidRPr="00BE7A4F" w14:paraId="665A960E" w14:textId="77777777" w:rsidTr="00E97169">
        <w:trPr>
          <w:cnfStyle w:val="000000010000" w:firstRow="0" w:lastRow="0" w:firstColumn="0" w:lastColumn="0" w:oddVBand="0" w:evenVBand="0" w:oddHBand="0" w:evenHBand="1"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957" w:type="dxa"/>
            <w:hideMark/>
          </w:tcPr>
          <w:p w14:paraId="26EAB5ED" w14:textId="77777777" w:rsidR="00BE7A4F" w:rsidRPr="007374C4" w:rsidRDefault="00BE7A4F" w:rsidP="00420041">
            <w:pPr>
              <w:spacing w:after="120" w:line="276" w:lineRule="auto"/>
              <w:rPr>
                <w:rFonts w:asciiTheme="majorHAnsi" w:hAnsiTheme="majorHAnsi" w:cstheme="majorHAnsi"/>
                <w:sz w:val="20"/>
                <w:szCs w:val="20"/>
              </w:rPr>
            </w:pPr>
            <w:r w:rsidRPr="007374C4">
              <w:rPr>
                <w:rFonts w:asciiTheme="majorHAnsi" w:hAnsiTheme="majorHAnsi" w:cstheme="majorHAnsi"/>
                <w:sz w:val="20"/>
                <w:szCs w:val="20"/>
              </w:rPr>
              <w:t>Consensual same-sex acts between adults in private are ILLEGAL</w:t>
            </w:r>
          </w:p>
        </w:tc>
        <w:tc>
          <w:tcPr>
            <w:tcW w:w="850" w:type="dxa"/>
            <w:hideMark/>
          </w:tcPr>
          <w:p w14:paraId="15520EAE"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69</w:t>
            </w:r>
          </w:p>
        </w:tc>
        <w:tc>
          <w:tcPr>
            <w:tcW w:w="851" w:type="dxa"/>
            <w:hideMark/>
          </w:tcPr>
          <w:p w14:paraId="0809EAED"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36%</w:t>
            </w:r>
          </w:p>
        </w:tc>
        <w:tc>
          <w:tcPr>
            <w:tcW w:w="633" w:type="dxa"/>
            <w:hideMark/>
          </w:tcPr>
          <w:p w14:paraId="7F864509"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6</w:t>
            </w:r>
          </w:p>
        </w:tc>
        <w:tc>
          <w:tcPr>
            <w:tcW w:w="0" w:type="auto"/>
            <w:hideMark/>
          </w:tcPr>
          <w:p w14:paraId="5D135A49"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43%</w:t>
            </w:r>
          </w:p>
        </w:tc>
        <w:tc>
          <w:tcPr>
            <w:tcW w:w="0" w:type="auto"/>
            <w:hideMark/>
          </w:tcPr>
          <w:p w14:paraId="4A7B91A3"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22</w:t>
            </w:r>
          </w:p>
        </w:tc>
        <w:tc>
          <w:tcPr>
            <w:tcW w:w="0" w:type="auto"/>
            <w:hideMark/>
          </w:tcPr>
          <w:p w14:paraId="018F025F" w14:textId="77777777" w:rsidR="00BE7A4F" w:rsidRPr="00BE7A4F" w:rsidRDefault="00BE7A4F" w:rsidP="00420041">
            <w:pPr>
              <w:spacing w:line="276" w:lineRule="auto"/>
              <w:cnfStyle w:val="000000010000" w:firstRow="0" w:lastRow="0" w:firstColumn="0" w:lastColumn="0" w:oddVBand="0" w:evenVBand="0" w:oddHBand="0" w:evenHBand="1" w:firstRowFirstColumn="0" w:firstRowLastColumn="0" w:lastRowFirstColumn="0" w:lastRowLastColumn="0"/>
            </w:pPr>
            <w:r w:rsidRPr="00BE7A4F">
              <w:rPr>
                <w:rFonts w:ascii="Arial" w:hAnsi="Arial" w:cs="Arial"/>
                <w:color w:val="000000"/>
                <w:sz w:val="20"/>
                <w:szCs w:val="20"/>
              </w:rPr>
              <w:t>52%</w:t>
            </w:r>
          </w:p>
        </w:tc>
      </w:tr>
      <w:tr w:rsidR="00240B70" w:rsidRPr="00BE7A4F" w14:paraId="56A7DEAC" w14:textId="77777777" w:rsidTr="00E97169">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4957" w:type="dxa"/>
          </w:tcPr>
          <w:p w14:paraId="44DF23AE" w14:textId="3F3C0E8E" w:rsidR="00240B70" w:rsidRPr="007374C4" w:rsidRDefault="00240B70" w:rsidP="00420041">
            <w:pPr>
              <w:spacing w:after="120" w:line="276" w:lineRule="auto"/>
              <w:rPr>
                <w:rFonts w:asciiTheme="majorHAnsi" w:hAnsiTheme="majorHAnsi" w:cstheme="majorHAnsi"/>
                <w:sz w:val="20"/>
                <w:szCs w:val="20"/>
              </w:rPr>
            </w:pPr>
            <w:r w:rsidRPr="007374C4">
              <w:rPr>
                <w:rFonts w:asciiTheme="majorHAnsi" w:hAnsiTheme="majorHAnsi" w:cstheme="majorHAnsi"/>
                <w:sz w:val="20"/>
                <w:szCs w:val="20"/>
              </w:rPr>
              <w:t>Consensual same-sex acts between adults in private are LEGAL</w:t>
            </w:r>
          </w:p>
        </w:tc>
        <w:tc>
          <w:tcPr>
            <w:tcW w:w="850" w:type="dxa"/>
          </w:tcPr>
          <w:p w14:paraId="3F68A493" w14:textId="675E9054" w:rsidR="00240B70" w:rsidRPr="00BE7A4F" w:rsidRDefault="00240B70" w:rsidP="004200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124</w:t>
            </w:r>
          </w:p>
        </w:tc>
        <w:tc>
          <w:tcPr>
            <w:tcW w:w="851" w:type="dxa"/>
          </w:tcPr>
          <w:p w14:paraId="2C7E777E" w14:textId="575CA4FD" w:rsidR="00240B70" w:rsidRPr="00BE7A4F" w:rsidRDefault="00240B70" w:rsidP="004200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64%</w:t>
            </w:r>
          </w:p>
        </w:tc>
        <w:tc>
          <w:tcPr>
            <w:tcW w:w="633" w:type="dxa"/>
          </w:tcPr>
          <w:p w14:paraId="0ABAD952" w14:textId="1832750D" w:rsidR="00240B70" w:rsidRPr="00BE7A4F" w:rsidRDefault="00240B70" w:rsidP="004200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8</w:t>
            </w:r>
          </w:p>
        </w:tc>
        <w:tc>
          <w:tcPr>
            <w:tcW w:w="0" w:type="auto"/>
          </w:tcPr>
          <w:p w14:paraId="3D2FC946" w14:textId="3913DB6F" w:rsidR="00240B70" w:rsidRPr="00BE7A4F" w:rsidRDefault="00455496" w:rsidP="004200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57%</w:t>
            </w:r>
          </w:p>
        </w:tc>
        <w:tc>
          <w:tcPr>
            <w:tcW w:w="0" w:type="auto"/>
          </w:tcPr>
          <w:p w14:paraId="6D495BE4" w14:textId="33885B28" w:rsidR="00240B70" w:rsidRPr="00BE7A4F" w:rsidRDefault="00455496" w:rsidP="004200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20</w:t>
            </w:r>
          </w:p>
        </w:tc>
        <w:tc>
          <w:tcPr>
            <w:tcW w:w="0" w:type="auto"/>
          </w:tcPr>
          <w:p w14:paraId="32573563" w14:textId="18965E34" w:rsidR="00240B70" w:rsidRPr="00BE7A4F" w:rsidRDefault="00455496" w:rsidP="00420041">
            <w:pPr>
              <w:spacing w:line="276" w:lineRule="auto"/>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48%</w:t>
            </w:r>
          </w:p>
        </w:tc>
      </w:tr>
    </w:tbl>
    <w:p w14:paraId="3C3B82FC" w14:textId="77777777" w:rsidR="00BE7A4F" w:rsidRPr="00BE7A4F" w:rsidRDefault="00BE7A4F" w:rsidP="00420041">
      <w:pPr>
        <w:spacing w:line="276" w:lineRule="auto"/>
      </w:pPr>
    </w:p>
    <w:p w14:paraId="768C70BD" w14:textId="575F2F73" w:rsidR="00DF5EBF" w:rsidRPr="00DF5EBF" w:rsidRDefault="00DF5EBF" w:rsidP="00420041">
      <w:pPr>
        <w:pStyle w:val="NormalWeb"/>
        <w:spacing w:before="0" w:beforeAutospacing="0" w:after="0" w:afterAutospacing="0" w:line="276" w:lineRule="auto"/>
        <w:jc w:val="both"/>
        <w:rPr>
          <w:sz w:val="20"/>
          <w:szCs w:val="20"/>
        </w:rPr>
      </w:pPr>
      <w:r w:rsidRPr="00DF5EBF">
        <w:rPr>
          <w:rFonts w:ascii="Arial" w:hAnsi="Arial" w:cs="Arial"/>
          <w:color w:val="000000"/>
          <w:sz w:val="20"/>
          <w:szCs w:val="20"/>
        </w:rPr>
        <w:t>Criminalisation today can take many forms. It can be directed towards punishing:</w:t>
      </w:r>
      <w:r w:rsidRPr="00DF5EBF">
        <w:rPr>
          <w:sz w:val="20"/>
          <w:szCs w:val="20"/>
        </w:rPr>
        <w:br/>
      </w:r>
    </w:p>
    <w:p w14:paraId="04CDFC7F" w14:textId="77777777" w:rsidR="00DF5EBF" w:rsidRPr="00DF5EBF" w:rsidRDefault="00DF5EBF" w:rsidP="00420041">
      <w:pPr>
        <w:pStyle w:val="NormalWeb"/>
        <w:numPr>
          <w:ilvl w:val="0"/>
          <w:numId w:val="29"/>
        </w:numPr>
        <w:spacing w:before="0" w:beforeAutospacing="0" w:after="0" w:afterAutospacing="0" w:line="276" w:lineRule="auto"/>
        <w:ind w:left="1440"/>
        <w:jc w:val="both"/>
        <w:textAlignment w:val="baseline"/>
        <w:rPr>
          <w:rFonts w:ascii="Arial" w:hAnsi="Arial" w:cs="Arial"/>
          <w:color w:val="000000"/>
          <w:sz w:val="20"/>
          <w:szCs w:val="20"/>
        </w:rPr>
      </w:pPr>
      <w:r w:rsidRPr="00DF5EBF">
        <w:rPr>
          <w:rFonts w:ascii="Arial" w:hAnsi="Arial" w:cs="Arial"/>
          <w:color w:val="000000"/>
          <w:sz w:val="20"/>
          <w:szCs w:val="20"/>
        </w:rPr>
        <w:t>certain sexual behaviour, </w:t>
      </w:r>
    </w:p>
    <w:p w14:paraId="6D5C5519" w14:textId="77777777" w:rsidR="00DF5EBF" w:rsidRPr="00DF5EBF" w:rsidRDefault="00DF5EBF" w:rsidP="00420041">
      <w:pPr>
        <w:pStyle w:val="NormalWeb"/>
        <w:numPr>
          <w:ilvl w:val="0"/>
          <w:numId w:val="29"/>
        </w:numPr>
        <w:spacing w:before="0" w:beforeAutospacing="0" w:after="0" w:afterAutospacing="0" w:line="276" w:lineRule="auto"/>
        <w:ind w:left="1440"/>
        <w:jc w:val="both"/>
        <w:textAlignment w:val="baseline"/>
        <w:rPr>
          <w:rFonts w:ascii="Arial" w:hAnsi="Arial" w:cs="Arial"/>
          <w:color w:val="000000"/>
          <w:sz w:val="20"/>
          <w:szCs w:val="20"/>
        </w:rPr>
      </w:pPr>
      <w:r w:rsidRPr="00DF5EBF">
        <w:rPr>
          <w:rFonts w:ascii="Arial" w:hAnsi="Arial" w:cs="Arial"/>
          <w:color w:val="000000"/>
          <w:sz w:val="20"/>
          <w:szCs w:val="20"/>
        </w:rPr>
        <w:t xml:space="preserve">acting or dressing in ways that do not conform to dominant cultural expectations, including so-called ‘cross dressing’, based on an assumption that a feminine man is </w:t>
      </w:r>
      <w:proofErr w:type="gramStart"/>
      <w:r w:rsidRPr="00DF5EBF">
        <w:rPr>
          <w:rFonts w:ascii="Arial" w:hAnsi="Arial" w:cs="Arial"/>
          <w:color w:val="000000"/>
          <w:sz w:val="20"/>
          <w:szCs w:val="20"/>
        </w:rPr>
        <w:t>gay</w:t>
      </w:r>
      <w:proofErr w:type="gramEnd"/>
      <w:r w:rsidRPr="00DF5EBF">
        <w:rPr>
          <w:rFonts w:ascii="Arial" w:hAnsi="Arial" w:cs="Arial"/>
          <w:color w:val="000000"/>
          <w:sz w:val="20"/>
          <w:szCs w:val="20"/>
        </w:rPr>
        <w:t xml:space="preserve"> and a masculine woman is lesbian,</w:t>
      </w:r>
    </w:p>
    <w:p w14:paraId="0A398C6F" w14:textId="77777777" w:rsidR="00DF5EBF" w:rsidRPr="00DF5EBF" w:rsidRDefault="00DF5EBF" w:rsidP="00420041">
      <w:pPr>
        <w:pStyle w:val="NormalWeb"/>
        <w:numPr>
          <w:ilvl w:val="0"/>
          <w:numId w:val="29"/>
        </w:numPr>
        <w:spacing w:before="0" w:beforeAutospacing="0" w:after="0" w:afterAutospacing="0" w:line="276" w:lineRule="auto"/>
        <w:ind w:left="1440"/>
        <w:jc w:val="both"/>
        <w:textAlignment w:val="baseline"/>
        <w:rPr>
          <w:rFonts w:ascii="Arial" w:hAnsi="Arial" w:cs="Arial"/>
          <w:color w:val="000000"/>
          <w:sz w:val="20"/>
          <w:szCs w:val="20"/>
        </w:rPr>
      </w:pPr>
      <w:r w:rsidRPr="00DF5EBF">
        <w:rPr>
          <w:rFonts w:ascii="Arial" w:hAnsi="Arial" w:cs="Arial"/>
          <w:color w:val="000000"/>
          <w:sz w:val="20"/>
          <w:szCs w:val="20"/>
        </w:rPr>
        <w:t xml:space="preserve">statements or publications or actions that discuss or refer to lesbian, </w:t>
      </w:r>
      <w:proofErr w:type="gramStart"/>
      <w:r w:rsidRPr="00DF5EBF">
        <w:rPr>
          <w:rFonts w:ascii="Arial" w:hAnsi="Arial" w:cs="Arial"/>
          <w:color w:val="000000"/>
          <w:sz w:val="20"/>
          <w:szCs w:val="20"/>
        </w:rPr>
        <w:t>gay</w:t>
      </w:r>
      <w:proofErr w:type="gramEnd"/>
      <w:r w:rsidRPr="00DF5EBF">
        <w:rPr>
          <w:rFonts w:ascii="Arial" w:hAnsi="Arial" w:cs="Arial"/>
          <w:color w:val="000000"/>
          <w:sz w:val="20"/>
          <w:szCs w:val="20"/>
        </w:rPr>
        <w:t xml:space="preserve"> and bisexual people.</w:t>
      </w:r>
    </w:p>
    <w:p w14:paraId="5CCD249C" w14:textId="77777777" w:rsidR="00DF5EBF" w:rsidRPr="00DF5EBF" w:rsidRDefault="00DF5EBF" w:rsidP="00420041">
      <w:pPr>
        <w:spacing w:line="276" w:lineRule="auto"/>
        <w:jc w:val="both"/>
        <w:rPr>
          <w:sz w:val="20"/>
          <w:szCs w:val="20"/>
        </w:rPr>
      </w:pPr>
    </w:p>
    <w:p w14:paraId="45026DE8" w14:textId="77777777" w:rsidR="00DF5EBF" w:rsidRPr="00DF5EBF" w:rsidRDefault="00DF5EBF" w:rsidP="00420041">
      <w:pPr>
        <w:pStyle w:val="NormalWeb"/>
        <w:spacing w:before="0" w:beforeAutospacing="0" w:after="0" w:afterAutospacing="0" w:line="276" w:lineRule="auto"/>
        <w:jc w:val="both"/>
        <w:rPr>
          <w:sz w:val="20"/>
          <w:szCs w:val="20"/>
        </w:rPr>
      </w:pPr>
      <w:r w:rsidRPr="00DF5EBF">
        <w:rPr>
          <w:rFonts w:ascii="Arial" w:hAnsi="Arial" w:cs="Arial"/>
          <w:color w:val="000000"/>
          <w:sz w:val="20"/>
          <w:szCs w:val="20"/>
        </w:rPr>
        <w:t>The criminal laws have been uneven in their terminology and scope. Sometimes they refer to same-sex activity indirectly, through use of terms like ‘unnatural acts’ or ‘unnatural sex’ or ‘acts against the order of nature’ or ‘acts of gross indecency’. Some laws use the terms ‘sodomy’ or ‘</w:t>
      </w:r>
      <w:proofErr w:type="gramStart"/>
      <w:r w:rsidRPr="00DF5EBF">
        <w:rPr>
          <w:rFonts w:ascii="Arial" w:hAnsi="Arial" w:cs="Arial"/>
          <w:color w:val="000000"/>
          <w:sz w:val="20"/>
          <w:szCs w:val="20"/>
        </w:rPr>
        <w:t>buggery</w:t>
      </w:r>
      <w:proofErr w:type="gramEnd"/>
      <w:r w:rsidRPr="00DF5EBF">
        <w:rPr>
          <w:rFonts w:ascii="Arial" w:hAnsi="Arial" w:cs="Arial"/>
          <w:color w:val="000000"/>
          <w:sz w:val="20"/>
          <w:szCs w:val="20"/>
        </w:rPr>
        <w:t xml:space="preserve">’. Sometimes they apply to male same-sex activity but not female. Sometimes they specifically cover ‘homosexual and lesbian </w:t>
      </w:r>
      <w:proofErr w:type="gramStart"/>
      <w:r w:rsidRPr="00DF5EBF">
        <w:rPr>
          <w:rFonts w:ascii="Arial" w:hAnsi="Arial" w:cs="Arial"/>
          <w:color w:val="000000"/>
          <w:sz w:val="20"/>
          <w:szCs w:val="20"/>
        </w:rPr>
        <w:t>intercourses’</w:t>
      </w:r>
      <w:proofErr w:type="gramEnd"/>
      <w:r w:rsidRPr="00DF5EBF">
        <w:rPr>
          <w:rFonts w:ascii="Arial" w:hAnsi="Arial" w:cs="Arial"/>
          <w:color w:val="000000"/>
          <w:sz w:val="20"/>
          <w:szCs w:val="20"/>
        </w:rPr>
        <w:t>.</w:t>
      </w:r>
    </w:p>
    <w:p w14:paraId="093F3314" w14:textId="77777777" w:rsidR="00DF5EBF" w:rsidRPr="00DF5EBF" w:rsidRDefault="00DF5EBF" w:rsidP="00420041">
      <w:pPr>
        <w:spacing w:line="276" w:lineRule="auto"/>
        <w:jc w:val="both"/>
        <w:rPr>
          <w:sz w:val="20"/>
          <w:szCs w:val="20"/>
        </w:rPr>
      </w:pPr>
    </w:p>
    <w:p w14:paraId="3C6F611E" w14:textId="242FDF27" w:rsidR="00DF5EBF" w:rsidRPr="00DF5EBF" w:rsidRDefault="00DF5EBF" w:rsidP="00420041">
      <w:pPr>
        <w:pStyle w:val="NormalWeb"/>
        <w:spacing w:before="0" w:beforeAutospacing="0" w:after="0" w:afterAutospacing="0" w:line="276" w:lineRule="auto"/>
        <w:jc w:val="both"/>
        <w:rPr>
          <w:sz w:val="20"/>
          <w:szCs w:val="20"/>
        </w:rPr>
      </w:pPr>
      <w:r w:rsidRPr="00DF5EBF">
        <w:rPr>
          <w:rFonts w:ascii="Arial" w:hAnsi="Arial" w:cs="Arial"/>
          <w:color w:val="000000"/>
          <w:sz w:val="20"/>
          <w:szCs w:val="20"/>
          <w:u w:val="single"/>
        </w:rPr>
        <w:t>Consequences</w:t>
      </w:r>
    </w:p>
    <w:p w14:paraId="11905A15" w14:textId="4432885D" w:rsidR="00DF5EBF" w:rsidRPr="00DF5EBF" w:rsidRDefault="00DF5EBF" w:rsidP="00420041">
      <w:pPr>
        <w:pStyle w:val="NormalWeb"/>
        <w:spacing w:before="0" w:beforeAutospacing="0" w:after="120" w:afterAutospacing="0" w:line="276" w:lineRule="auto"/>
        <w:jc w:val="both"/>
        <w:rPr>
          <w:sz w:val="20"/>
          <w:szCs w:val="20"/>
        </w:rPr>
      </w:pPr>
      <w:r w:rsidRPr="00DF5EBF">
        <w:rPr>
          <w:rFonts w:ascii="Arial" w:hAnsi="Arial" w:cs="Arial"/>
          <w:color w:val="000000"/>
          <w:sz w:val="20"/>
          <w:szCs w:val="20"/>
        </w:rPr>
        <w:t>Criminal laws targeting lesbian, gay and bisexual people have both direct and indirect effects on human rights.</w:t>
      </w:r>
    </w:p>
    <w:p w14:paraId="508311EE" w14:textId="36A33D11" w:rsidR="00DF5EBF" w:rsidRPr="00DF5EBF" w:rsidRDefault="00DF5EBF" w:rsidP="00420041">
      <w:pPr>
        <w:pStyle w:val="NormalWeb"/>
        <w:spacing w:before="0" w:beforeAutospacing="0" w:after="120" w:afterAutospacing="0" w:line="276" w:lineRule="auto"/>
        <w:jc w:val="both"/>
        <w:rPr>
          <w:sz w:val="20"/>
          <w:szCs w:val="20"/>
        </w:rPr>
      </w:pPr>
      <w:r w:rsidRPr="00DF5EBF">
        <w:rPr>
          <w:rFonts w:ascii="Arial" w:hAnsi="Arial" w:cs="Arial"/>
          <w:color w:val="000000"/>
          <w:sz w:val="20"/>
          <w:szCs w:val="20"/>
        </w:rPr>
        <w:t xml:space="preserve">Directly, they impose treatment and punishments that violate human rights, including arbitrary detention, torture and cruel, </w:t>
      </w:r>
      <w:proofErr w:type="gramStart"/>
      <w:r w:rsidRPr="00DF5EBF">
        <w:rPr>
          <w:rFonts w:ascii="Arial" w:hAnsi="Arial" w:cs="Arial"/>
          <w:color w:val="000000"/>
          <w:sz w:val="20"/>
          <w:szCs w:val="20"/>
        </w:rPr>
        <w:t>inhuman</w:t>
      </w:r>
      <w:proofErr w:type="gramEnd"/>
      <w:r w:rsidRPr="00DF5EBF">
        <w:rPr>
          <w:rFonts w:ascii="Arial" w:hAnsi="Arial" w:cs="Arial"/>
          <w:color w:val="000000"/>
          <w:sz w:val="20"/>
          <w:szCs w:val="20"/>
        </w:rPr>
        <w:t xml:space="preserve"> and degrading punishment, and arbitrary execution. </w:t>
      </w:r>
    </w:p>
    <w:p w14:paraId="4F53CA1A" w14:textId="41F585C0" w:rsidR="00DF5EBF" w:rsidRPr="00DF5EBF" w:rsidRDefault="00DF5EBF" w:rsidP="00420041">
      <w:pPr>
        <w:pStyle w:val="NormalWeb"/>
        <w:spacing w:before="0" w:beforeAutospacing="0" w:after="120" w:afterAutospacing="0" w:line="276" w:lineRule="auto"/>
        <w:jc w:val="both"/>
        <w:rPr>
          <w:sz w:val="20"/>
          <w:szCs w:val="20"/>
        </w:rPr>
      </w:pPr>
      <w:r w:rsidRPr="00DF5EBF">
        <w:rPr>
          <w:rFonts w:ascii="Arial" w:hAnsi="Arial" w:cs="Arial"/>
          <w:color w:val="000000"/>
          <w:sz w:val="20"/>
          <w:szCs w:val="20"/>
        </w:rPr>
        <w:t xml:space="preserve">Criminal laws provide a legal basis for police to detain lesbian, gay and bisexual people. When detained, lesbian, </w:t>
      </w:r>
      <w:proofErr w:type="gramStart"/>
      <w:r w:rsidRPr="00DF5EBF">
        <w:rPr>
          <w:rFonts w:ascii="Arial" w:hAnsi="Arial" w:cs="Arial"/>
          <w:color w:val="000000"/>
          <w:sz w:val="20"/>
          <w:szCs w:val="20"/>
        </w:rPr>
        <w:t>gay</w:t>
      </w:r>
      <w:proofErr w:type="gramEnd"/>
      <w:r w:rsidRPr="00DF5EBF">
        <w:rPr>
          <w:rFonts w:ascii="Arial" w:hAnsi="Arial" w:cs="Arial"/>
          <w:color w:val="000000"/>
          <w:sz w:val="20"/>
          <w:szCs w:val="20"/>
        </w:rPr>
        <w:t xml:space="preserve"> and bisexual people suffer from indirect consequences of these criminal laws by being at greater risk of harassment and </w:t>
      </w:r>
      <w:r w:rsidRPr="00DF5EBF">
        <w:rPr>
          <w:rFonts w:ascii="Arial" w:hAnsi="Arial" w:cs="Arial"/>
          <w:color w:val="000000"/>
          <w:sz w:val="20"/>
          <w:szCs w:val="20"/>
        </w:rPr>
        <w:t>physical</w:t>
      </w:r>
      <w:r w:rsidRPr="00DF5EBF">
        <w:rPr>
          <w:rFonts w:ascii="Arial" w:hAnsi="Arial" w:cs="Arial"/>
          <w:color w:val="000000"/>
          <w:sz w:val="20"/>
          <w:szCs w:val="20"/>
        </w:rPr>
        <w:t xml:space="preserve"> and sexual assault. </w:t>
      </w:r>
    </w:p>
    <w:p w14:paraId="5C7D1DD6" w14:textId="77777777" w:rsidR="00DF5EBF" w:rsidRPr="00DF5EBF" w:rsidRDefault="00DF5EBF" w:rsidP="00420041">
      <w:pPr>
        <w:spacing w:line="276" w:lineRule="auto"/>
        <w:jc w:val="both"/>
        <w:rPr>
          <w:sz w:val="20"/>
          <w:szCs w:val="20"/>
        </w:rPr>
      </w:pPr>
    </w:p>
    <w:p w14:paraId="1A4701A7" w14:textId="38E010A2" w:rsidR="007624DB" w:rsidRPr="00420041" w:rsidRDefault="007624DB" w:rsidP="00420041">
      <w:pPr>
        <w:pStyle w:val="ListParagraph"/>
        <w:numPr>
          <w:ilvl w:val="0"/>
          <w:numId w:val="20"/>
        </w:numPr>
        <w:spacing w:after="120" w:line="276" w:lineRule="auto"/>
        <w:rPr>
          <w:rFonts w:asciiTheme="majorHAnsi" w:hAnsiTheme="majorHAnsi" w:cstheme="majorHAnsi"/>
          <w:b/>
          <w:bCs/>
          <w:color w:val="808285"/>
          <w:sz w:val="23"/>
          <w:szCs w:val="23"/>
          <w:shd w:val="clear" w:color="auto" w:fill="FFFFFF"/>
        </w:rPr>
      </w:pPr>
      <w:r w:rsidRPr="007624DB">
        <w:rPr>
          <w:rStyle w:val="normaltextrun"/>
          <w:rFonts w:asciiTheme="majorHAnsi" w:hAnsiTheme="majorHAnsi" w:cstheme="majorHAnsi"/>
          <w:b/>
          <w:bCs/>
          <w:color w:val="808285"/>
          <w:sz w:val="23"/>
          <w:szCs w:val="23"/>
          <w:shd w:val="clear" w:color="auto" w:fill="FFFFFF"/>
        </w:rPr>
        <w:t>Safety and violence </w:t>
      </w:r>
    </w:p>
    <w:p w14:paraId="3117168C" w14:textId="30CE00BD" w:rsidR="007624DB" w:rsidRPr="007624DB" w:rsidRDefault="007624DB" w:rsidP="00420041">
      <w:pPr>
        <w:pStyle w:val="NormalWeb"/>
        <w:spacing w:before="0" w:beforeAutospacing="0" w:after="120" w:afterAutospacing="0" w:line="276" w:lineRule="auto"/>
        <w:jc w:val="both"/>
        <w:rPr>
          <w:sz w:val="20"/>
          <w:szCs w:val="20"/>
        </w:rPr>
      </w:pPr>
      <w:r w:rsidRPr="007624DB">
        <w:rPr>
          <w:rFonts w:ascii="Arial" w:hAnsi="Arial" w:cs="Arial"/>
          <w:color w:val="000000"/>
          <w:sz w:val="20"/>
          <w:szCs w:val="20"/>
        </w:rPr>
        <w:t xml:space="preserve">The existence of criminal laws against lesbian, gay and bisexual people </w:t>
      </w:r>
      <w:proofErr w:type="gramStart"/>
      <w:r w:rsidRPr="007624DB">
        <w:rPr>
          <w:rFonts w:ascii="Arial" w:hAnsi="Arial" w:cs="Arial"/>
          <w:color w:val="000000"/>
          <w:sz w:val="20"/>
          <w:szCs w:val="20"/>
        </w:rPr>
        <w:t>increases</w:t>
      </w:r>
      <w:proofErr w:type="gramEnd"/>
      <w:r w:rsidRPr="007624DB">
        <w:rPr>
          <w:rFonts w:ascii="Arial" w:hAnsi="Arial" w:cs="Arial"/>
          <w:color w:val="000000"/>
          <w:sz w:val="20"/>
          <w:szCs w:val="20"/>
        </w:rPr>
        <w:t xml:space="preserve"> the risk of violence but, even where there are no criminal laws, lesbian, gay and bisexual people encounter significantly greater risks of being subjected to violence than other people.</w:t>
      </w:r>
    </w:p>
    <w:p w14:paraId="5DC8B925" w14:textId="77777777" w:rsidR="007624DB" w:rsidRPr="007624DB" w:rsidRDefault="007624DB" w:rsidP="00420041">
      <w:pPr>
        <w:spacing w:after="120" w:line="276" w:lineRule="auto"/>
        <w:jc w:val="both"/>
        <w:rPr>
          <w:sz w:val="20"/>
          <w:szCs w:val="20"/>
        </w:rPr>
      </w:pPr>
    </w:p>
    <w:p w14:paraId="0AD215B4" w14:textId="12AC8DD4" w:rsidR="007624DB" w:rsidRPr="007624DB" w:rsidRDefault="007624DB" w:rsidP="00420041">
      <w:pPr>
        <w:pStyle w:val="NormalWeb"/>
        <w:spacing w:before="0" w:beforeAutospacing="0" w:after="120" w:afterAutospacing="0" w:line="276" w:lineRule="auto"/>
        <w:jc w:val="both"/>
        <w:rPr>
          <w:sz w:val="20"/>
          <w:szCs w:val="20"/>
        </w:rPr>
      </w:pPr>
      <w:r w:rsidRPr="007624DB">
        <w:rPr>
          <w:rFonts w:ascii="Arial" w:hAnsi="Arial" w:cs="Arial"/>
          <w:color w:val="000000"/>
          <w:sz w:val="20"/>
          <w:szCs w:val="20"/>
          <w:u w:val="single"/>
        </w:rPr>
        <w:t>Prevention</w:t>
      </w:r>
    </w:p>
    <w:p w14:paraId="38975BF4" w14:textId="77777777" w:rsidR="007624DB" w:rsidRPr="007624DB" w:rsidRDefault="007624DB" w:rsidP="00420041">
      <w:pPr>
        <w:pStyle w:val="NormalWeb"/>
        <w:spacing w:before="0" w:beforeAutospacing="0" w:after="120" w:afterAutospacing="0" w:line="276" w:lineRule="auto"/>
        <w:jc w:val="both"/>
        <w:rPr>
          <w:sz w:val="20"/>
          <w:szCs w:val="20"/>
        </w:rPr>
      </w:pPr>
      <w:r w:rsidRPr="007624DB">
        <w:rPr>
          <w:rFonts w:ascii="Arial" w:hAnsi="Arial" w:cs="Arial"/>
          <w:color w:val="000000"/>
          <w:sz w:val="20"/>
          <w:szCs w:val="20"/>
        </w:rPr>
        <w:t xml:space="preserve">Violence intervention and prevention are difficult, particularly for lesbian, gay and bisexual young people who can be trapped by age, economic dependence, lack of agency and lack of mobility. Much of this violence is perpetrated by public officials, </w:t>
      </w:r>
      <w:proofErr w:type="gramStart"/>
      <w:r w:rsidRPr="007624DB">
        <w:rPr>
          <w:rFonts w:ascii="Arial" w:hAnsi="Arial" w:cs="Arial"/>
          <w:color w:val="000000"/>
          <w:sz w:val="20"/>
          <w:szCs w:val="20"/>
        </w:rPr>
        <w:t>in particular by</w:t>
      </w:r>
      <w:proofErr w:type="gramEnd"/>
      <w:r w:rsidRPr="007624DB">
        <w:rPr>
          <w:rFonts w:ascii="Arial" w:hAnsi="Arial" w:cs="Arial"/>
          <w:color w:val="000000"/>
          <w:sz w:val="20"/>
          <w:szCs w:val="20"/>
        </w:rPr>
        <w:t xml:space="preserve"> law enforcement officials, especially the police. </w:t>
      </w:r>
    </w:p>
    <w:p w14:paraId="21AF7702" w14:textId="77777777" w:rsidR="007624DB" w:rsidRPr="007624DB" w:rsidRDefault="007624DB" w:rsidP="00420041">
      <w:pPr>
        <w:pStyle w:val="NormalWeb"/>
        <w:spacing w:before="0" w:beforeAutospacing="0" w:after="120" w:afterAutospacing="0" w:line="276" w:lineRule="auto"/>
        <w:jc w:val="both"/>
        <w:rPr>
          <w:sz w:val="20"/>
          <w:szCs w:val="20"/>
        </w:rPr>
      </w:pPr>
      <w:r w:rsidRPr="007624DB">
        <w:rPr>
          <w:rStyle w:val="apple-tab-span"/>
          <w:rFonts w:ascii="Arial" w:hAnsi="Arial" w:cs="Arial"/>
          <w:color w:val="000000"/>
          <w:sz w:val="20"/>
          <w:szCs w:val="20"/>
        </w:rPr>
        <w:tab/>
      </w:r>
    </w:p>
    <w:p w14:paraId="27FC170F" w14:textId="154EA896" w:rsidR="007624DB" w:rsidRPr="007624DB" w:rsidRDefault="007624DB" w:rsidP="00420041">
      <w:pPr>
        <w:pStyle w:val="NormalWeb"/>
        <w:spacing w:before="0" w:beforeAutospacing="0" w:after="120" w:afterAutospacing="0" w:line="276" w:lineRule="auto"/>
        <w:jc w:val="both"/>
        <w:rPr>
          <w:sz w:val="20"/>
          <w:szCs w:val="20"/>
        </w:rPr>
      </w:pPr>
      <w:r w:rsidRPr="007624DB">
        <w:rPr>
          <w:rFonts w:ascii="Arial" w:hAnsi="Arial" w:cs="Arial"/>
          <w:color w:val="000000"/>
          <w:sz w:val="20"/>
          <w:szCs w:val="20"/>
          <w:u w:val="single"/>
        </w:rPr>
        <w:lastRenderedPageBreak/>
        <w:t>Protection </w:t>
      </w:r>
    </w:p>
    <w:p w14:paraId="0D0D5C51" w14:textId="77777777" w:rsidR="007624DB" w:rsidRPr="007624DB" w:rsidRDefault="007624DB" w:rsidP="00420041">
      <w:pPr>
        <w:pStyle w:val="NormalWeb"/>
        <w:spacing w:before="0" w:beforeAutospacing="0" w:after="120" w:afterAutospacing="0" w:line="276" w:lineRule="auto"/>
        <w:jc w:val="both"/>
        <w:rPr>
          <w:sz w:val="20"/>
          <w:szCs w:val="20"/>
        </w:rPr>
      </w:pPr>
      <w:r w:rsidRPr="007624DB">
        <w:rPr>
          <w:rFonts w:ascii="Arial" w:hAnsi="Arial" w:cs="Arial"/>
          <w:color w:val="000000"/>
          <w:sz w:val="20"/>
          <w:szCs w:val="20"/>
        </w:rPr>
        <w:t>State obligations under international human rights law include the obligation to protect human rights. International human rights mechanisms have said repeatedly that the State bears responsibility for human rights violations perpetrated by non-State actors where the State has failed to provide an adequate level of protection. Family and relationship violence has been signalled out repeatedly for specific mention in this respect. </w:t>
      </w:r>
    </w:p>
    <w:p w14:paraId="549B35F0" w14:textId="77777777" w:rsidR="007624DB" w:rsidRPr="007624DB" w:rsidRDefault="007624DB" w:rsidP="00420041">
      <w:pPr>
        <w:spacing w:after="120" w:line="276" w:lineRule="auto"/>
        <w:jc w:val="both"/>
        <w:rPr>
          <w:sz w:val="20"/>
          <w:szCs w:val="20"/>
        </w:rPr>
      </w:pPr>
    </w:p>
    <w:p w14:paraId="4BE41029" w14:textId="6D9C707D" w:rsidR="007624DB" w:rsidRPr="007624DB" w:rsidRDefault="007624DB" w:rsidP="00420041">
      <w:pPr>
        <w:pStyle w:val="NormalWeb"/>
        <w:spacing w:before="0" w:beforeAutospacing="0" w:after="120" w:afterAutospacing="0" w:line="276" w:lineRule="auto"/>
        <w:jc w:val="both"/>
        <w:rPr>
          <w:sz w:val="20"/>
          <w:szCs w:val="20"/>
        </w:rPr>
      </w:pPr>
      <w:r w:rsidRPr="007624DB">
        <w:rPr>
          <w:rFonts w:ascii="Arial" w:hAnsi="Arial" w:cs="Arial"/>
          <w:color w:val="000000"/>
          <w:sz w:val="20"/>
          <w:szCs w:val="20"/>
          <w:u w:val="single"/>
        </w:rPr>
        <w:t>Reporting</w:t>
      </w:r>
    </w:p>
    <w:p w14:paraId="074CCF09" w14:textId="5B05D591" w:rsidR="007624DB" w:rsidRDefault="007624DB" w:rsidP="00420041">
      <w:pPr>
        <w:pStyle w:val="NormalWeb"/>
        <w:spacing w:before="0" w:beforeAutospacing="0" w:after="120" w:afterAutospacing="0" w:line="276" w:lineRule="auto"/>
        <w:jc w:val="both"/>
        <w:rPr>
          <w:rFonts w:ascii="Arial" w:hAnsi="Arial" w:cs="Arial"/>
          <w:color w:val="000000"/>
          <w:sz w:val="20"/>
          <w:szCs w:val="20"/>
        </w:rPr>
      </w:pPr>
      <w:r w:rsidRPr="007624DB">
        <w:rPr>
          <w:rFonts w:ascii="Arial" w:hAnsi="Arial" w:cs="Arial"/>
          <w:color w:val="000000"/>
          <w:sz w:val="20"/>
          <w:szCs w:val="20"/>
        </w:rPr>
        <w:t xml:space="preserve">Lesbian, </w:t>
      </w:r>
      <w:proofErr w:type="gramStart"/>
      <w:r w:rsidRPr="007624DB">
        <w:rPr>
          <w:rFonts w:ascii="Arial" w:hAnsi="Arial" w:cs="Arial"/>
          <w:color w:val="000000"/>
          <w:sz w:val="20"/>
          <w:szCs w:val="20"/>
        </w:rPr>
        <w:t>gay</w:t>
      </w:r>
      <w:proofErr w:type="gramEnd"/>
      <w:r w:rsidRPr="007624DB">
        <w:rPr>
          <w:rFonts w:ascii="Arial" w:hAnsi="Arial" w:cs="Arial"/>
          <w:color w:val="000000"/>
          <w:sz w:val="20"/>
          <w:szCs w:val="20"/>
        </w:rPr>
        <w:t xml:space="preserve"> and bisexual people are more reluctant than most to report violence to the police because of the fear of exposure of their sexual orientation or even worse treatment on the basis of their sexual orientation. These concerns are likely to be heightened for lesbians and bisexual women, including in communities where women are blamed for violence against them. Similarly, lesbian, </w:t>
      </w:r>
      <w:proofErr w:type="gramStart"/>
      <w:r w:rsidRPr="007624DB">
        <w:rPr>
          <w:rFonts w:ascii="Arial" w:hAnsi="Arial" w:cs="Arial"/>
          <w:color w:val="000000"/>
          <w:sz w:val="20"/>
          <w:szCs w:val="20"/>
        </w:rPr>
        <w:t>gay</w:t>
      </w:r>
      <w:proofErr w:type="gramEnd"/>
      <w:r w:rsidRPr="007624DB">
        <w:rPr>
          <w:rFonts w:ascii="Arial" w:hAnsi="Arial" w:cs="Arial"/>
          <w:color w:val="000000"/>
          <w:sz w:val="20"/>
          <w:szCs w:val="20"/>
        </w:rPr>
        <w:t xml:space="preserve"> and bisexual sex workers may be very reluctant to approach police about sexual assaults, particularly if sex work is criminalised.</w:t>
      </w:r>
    </w:p>
    <w:p w14:paraId="09DF1510" w14:textId="77777777" w:rsidR="009D4601" w:rsidRPr="007624DB" w:rsidRDefault="009D4601" w:rsidP="00420041">
      <w:pPr>
        <w:pStyle w:val="NormalWeb"/>
        <w:spacing w:before="0" w:beforeAutospacing="0" w:after="120" w:afterAutospacing="0" w:line="276" w:lineRule="auto"/>
        <w:jc w:val="both"/>
        <w:rPr>
          <w:sz w:val="20"/>
          <w:szCs w:val="20"/>
        </w:rPr>
      </w:pPr>
    </w:p>
    <w:p w14:paraId="019AB531" w14:textId="03E749C6" w:rsidR="00697E22" w:rsidRPr="009D4601" w:rsidRDefault="00697E22" w:rsidP="00420041">
      <w:pPr>
        <w:pStyle w:val="ListParagraph"/>
        <w:numPr>
          <w:ilvl w:val="0"/>
          <w:numId w:val="20"/>
        </w:numPr>
        <w:spacing w:after="120" w:line="276" w:lineRule="auto"/>
        <w:rPr>
          <w:rStyle w:val="normaltextrun"/>
          <w:rFonts w:asciiTheme="majorHAnsi" w:hAnsiTheme="majorHAnsi" w:cstheme="majorHAnsi"/>
          <w:b/>
          <w:bCs/>
          <w:color w:val="808285"/>
          <w:sz w:val="23"/>
          <w:szCs w:val="23"/>
          <w:shd w:val="clear" w:color="auto" w:fill="FFFFFF"/>
        </w:rPr>
      </w:pPr>
      <w:r w:rsidRPr="009D4601">
        <w:rPr>
          <w:rStyle w:val="normaltextrun"/>
          <w:rFonts w:asciiTheme="majorHAnsi" w:hAnsiTheme="majorHAnsi" w:cstheme="majorHAnsi"/>
          <w:b/>
          <w:bCs/>
          <w:color w:val="808285"/>
          <w:sz w:val="23"/>
          <w:szCs w:val="23"/>
          <w:shd w:val="clear" w:color="auto" w:fill="FFFFFF"/>
        </w:rPr>
        <w:t>Equality and discrimination</w:t>
      </w:r>
      <w:r w:rsidRPr="009D4601">
        <w:rPr>
          <w:rStyle w:val="normaltextrun"/>
          <w:rFonts w:asciiTheme="majorHAnsi" w:hAnsiTheme="majorHAnsi" w:cstheme="majorHAnsi"/>
          <w:color w:val="808285"/>
          <w:sz w:val="23"/>
          <w:szCs w:val="23"/>
          <w:shd w:val="clear" w:color="auto" w:fill="FFFFFF"/>
        </w:rPr>
        <w:t> </w:t>
      </w:r>
    </w:p>
    <w:p w14:paraId="2725DA5D" w14:textId="77777777" w:rsidR="00697E22" w:rsidRDefault="00697E22" w:rsidP="00420041">
      <w:pPr>
        <w:spacing w:line="276" w:lineRule="auto"/>
      </w:pPr>
    </w:p>
    <w:tbl>
      <w:tblPr>
        <w:tblStyle w:val="APFTable"/>
        <w:tblW w:w="0" w:type="auto"/>
        <w:tblLook w:val="04A0" w:firstRow="1" w:lastRow="0" w:firstColumn="1" w:lastColumn="0" w:noHBand="0" w:noVBand="1"/>
      </w:tblPr>
      <w:tblGrid>
        <w:gridCol w:w="4833"/>
        <w:gridCol w:w="859"/>
        <w:gridCol w:w="1003"/>
        <w:gridCol w:w="528"/>
        <w:gridCol w:w="617"/>
        <w:gridCol w:w="583"/>
        <w:gridCol w:w="617"/>
      </w:tblGrid>
      <w:tr w:rsidR="00697E22" w14:paraId="47650F1B" w14:textId="77777777" w:rsidTr="009D4601">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0" w:type="auto"/>
            <w:hideMark/>
          </w:tcPr>
          <w:p w14:paraId="7236F926" w14:textId="77777777" w:rsidR="00697E22" w:rsidRDefault="00697E22" w:rsidP="00420041">
            <w:pPr>
              <w:spacing w:line="276" w:lineRule="auto"/>
            </w:pPr>
          </w:p>
        </w:tc>
        <w:tc>
          <w:tcPr>
            <w:tcW w:w="0" w:type="auto"/>
            <w:gridSpan w:val="2"/>
            <w:hideMark/>
          </w:tcPr>
          <w:p w14:paraId="42012A91" w14:textId="77777777" w:rsidR="00697E22" w:rsidRPr="009D4601" w:rsidRDefault="00697E22" w:rsidP="00420041">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pPr>
            <w:proofErr w:type="gramStart"/>
            <w:r w:rsidRPr="009D4601">
              <w:rPr>
                <w:rFonts w:ascii="Arial" w:hAnsi="Arial" w:cs="Arial"/>
                <w:sz w:val="22"/>
                <w:szCs w:val="22"/>
              </w:rPr>
              <w:t>UN  Member</w:t>
            </w:r>
            <w:proofErr w:type="gramEnd"/>
            <w:r w:rsidRPr="009D4601">
              <w:rPr>
                <w:rFonts w:ascii="Arial" w:hAnsi="Arial" w:cs="Arial"/>
                <w:sz w:val="22"/>
                <w:szCs w:val="22"/>
              </w:rPr>
              <w:t xml:space="preserve"> States</w:t>
            </w:r>
          </w:p>
        </w:tc>
        <w:tc>
          <w:tcPr>
            <w:tcW w:w="0" w:type="auto"/>
            <w:gridSpan w:val="2"/>
            <w:hideMark/>
          </w:tcPr>
          <w:p w14:paraId="41CAD35E" w14:textId="77777777" w:rsidR="00697E22" w:rsidRPr="009D4601" w:rsidRDefault="00697E22" w:rsidP="00420041">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pPr>
            <w:r w:rsidRPr="009D4601">
              <w:rPr>
                <w:rFonts w:ascii="Arial" w:hAnsi="Arial" w:cs="Arial"/>
                <w:sz w:val="22"/>
                <w:szCs w:val="22"/>
              </w:rPr>
              <w:t>Oceania</w:t>
            </w:r>
          </w:p>
        </w:tc>
        <w:tc>
          <w:tcPr>
            <w:tcW w:w="0" w:type="auto"/>
            <w:gridSpan w:val="2"/>
            <w:hideMark/>
          </w:tcPr>
          <w:p w14:paraId="1D1B9D0F" w14:textId="77777777" w:rsidR="00697E22" w:rsidRPr="009D4601" w:rsidRDefault="00697E22" w:rsidP="00420041">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pPr>
            <w:r w:rsidRPr="009D4601">
              <w:rPr>
                <w:rFonts w:ascii="Arial" w:hAnsi="Arial" w:cs="Arial"/>
                <w:sz w:val="22"/>
                <w:szCs w:val="22"/>
              </w:rPr>
              <w:t>Asia</w:t>
            </w:r>
          </w:p>
        </w:tc>
      </w:tr>
      <w:tr w:rsidR="00697E22" w14:paraId="2E6AD897" w14:textId="77777777" w:rsidTr="009D460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0B0163AA" w14:textId="77777777" w:rsidR="00697E22" w:rsidRDefault="00697E22" w:rsidP="00420041">
            <w:pPr>
              <w:pStyle w:val="NormalWeb"/>
              <w:spacing w:before="0" w:beforeAutospacing="0" w:after="0" w:afterAutospacing="0" w:line="276" w:lineRule="auto"/>
            </w:pPr>
            <w:r>
              <w:t> </w:t>
            </w:r>
          </w:p>
        </w:tc>
        <w:tc>
          <w:tcPr>
            <w:tcW w:w="0" w:type="auto"/>
            <w:hideMark/>
          </w:tcPr>
          <w:p w14:paraId="4F5936F7"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No.</w:t>
            </w:r>
          </w:p>
        </w:tc>
        <w:tc>
          <w:tcPr>
            <w:tcW w:w="0" w:type="auto"/>
            <w:hideMark/>
          </w:tcPr>
          <w:p w14:paraId="2C9E8324"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w:t>
            </w:r>
          </w:p>
        </w:tc>
        <w:tc>
          <w:tcPr>
            <w:tcW w:w="0" w:type="auto"/>
            <w:hideMark/>
          </w:tcPr>
          <w:p w14:paraId="5819B4A6"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No.</w:t>
            </w:r>
          </w:p>
        </w:tc>
        <w:tc>
          <w:tcPr>
            <w:tcW w:w="0" w:type="auto"/>
            <w:hideMark/>
          </w:tcPr>
          <w:p w14:paraId="6D342376"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w:t>
            </w:r>
          </w:p>
        </w:tc>
        <w:tc>
          <w:tcPr>
            <w:tcW w:w="0" w:type="auto"/>
            <w:hideMark/>
          </w:tcPr>
          <w:p w14:paraId="044159EF"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No. </w:t>
            </w:r>
          </w:p>
        </w:tc>
        <w:tc>
          <w:tcPr>
            <w:tcW w:w="0" w:type="auto"/>
            <w:hideMark/>
          </w:tcPr>
          <w:p w14:paraId="5A23E73C"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w:t>
            </w:r>
          </w:p>
        </w:tc>
      </w:tr>
      <w:tr w:rsidR="00697E22" w14:paraId="6BAD2197" w14:textId="77777777" w:rsidTr="009D4601">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5403F2FE" w14:textId="43C82378" w:rsidR="00697E22" w:rsidRDefault="009D4601" w:rsidP="00420041">
            <w:pPr>
              <w:pStyle w:val="NormalWeb"/>
              <w:spacing w:before="120" w:beforeAutospacing="0" w:after="120" w:afterAutospacing="0" w:line="276" w:lineRule="auto"/>
            </w:pPr>
            <w:r>
              <w:rPr>
                <w:rFonts w:ascii="Arial" w:hAnsi="Arial" w:cs="Arial"/>
                <w:color w:val="000000"/>
                <w:sz w:val="20"/>
                <w:szCs w:val="20"/>
              </w:rPr>
              <w:t>Constitutional</w:t>
            </w:r>
            <w:r w:rsidR="00697E22">
              <w:rPr>
                <w:rFonts w:ascii="Arial" w:hAnsi="Arial" w:cs="Arial"/>
                <w:color w:val="000000"/>
                <w:sz w:val="20"/>
                <w:szCs w:val="20"/>
              </w:rPr>
              <w:t xml:space="preserve"> protections against discrimination based on sexual </w:t>
            </w:r>
            <w:r>
              <w:rPr>
                <w:rFonts w:ascii="Arial" w:hAnsi="Arial" w:cs="Arial"/>
                <w:color w:val="000000"/>
                <w:sz w:val="20"/>
                <w:szCs w:val="20"/>
              </w:rPr>
              <w:t>orientation</w:t>
            </w:r>
            <w:r w:rsidR="00697E22">
              <w:rPr>
                <w:rFonts w:ascii="Arial" w:hAnsi="Arial" w:cs="Arial"/>
                <w:color w:val="000000"/>
                <w:sz w:val="20"/>
                <w:szCs w:val="20"/>
              </w:rPr>
              <w:t xml:space="preserve"> (SO)</w:t>
            </w:r>
          </w:p>
        </w:tc>
        <w:tc>
          <w:tcPr>
            <w:tcW w:w="0" w:type="auto"/>
            <w:hideMark/>
          </w:tcPr>
          <w:p w14:paraId="368DE7D2"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11</w:t>
            </w:r>
          </w:p>
        </w:tc>
        <w:tc>
          <w:tcPr>
            <w:tcW w:w="0" w:type="auto"/>
            <w:hideMark/>
          </w:tcPr>
          <w:p w14:paraId="7D032C31"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6%</w:t>
            </w:r>
          </w:p>
        </w:tc>
        <w:tc>
          <w:tcPr>
            <w:tcW w:w="0" w:type="auto"/>
            <w:hideMark/>
          </w:tcPr>
          <w:p w14:paraId="7DC349E2"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w:t>
            </w:r>
          </w:p>
        </w:tc>
        <w:tc>
          <w:tcPr>
            <w:tcW w:w="0" w:type="auto"/>
            <w:hideMark/>
          </w:tcPr>
          <w:p w14:paraId="47F66D7E"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7%</w:t>
            </w:r>
          </w:p>
        </w:tc>
        <w:tc>
          <w:tcPr>
            <w:tcW w:w="0" w:type="auto"/>
            <w:hideMark/>
          </w:tcPr>
          <w:p w14:paraId="53D3677E"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w:t>
            </w:r>
          </w:p>
        </w:tc>
        <w:tc>
          <w:tcPr>
            <w:tcW w:w="0" w:type="auto"/>
            <w:hideMark/>
          </w:tcPr>
          <w:p w14:paraId="70363C1D"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2%</w:t>
            </w:r>
          </w:p>
        </w:tc>
      </w:tr>
      <w:tr w:rsidR="00697E22" w14:paraId="74F053C3" w14:textId="77777777" w:rsidTr="009D460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6BEE7DD6" w14:textId="77777777" w:rsidR="00697E22" w:rsidRDefault="00697E22" w:rsidP="00420041">
            <w:pPr>
              <w:pStyle w:val="NormalWeb"/>
              <w:spacing w:before="120" w:beforeAutospacing="0" w:after="120" w:afterAutospacing="0" w:line="276" w:lineRule="auto"/>
            </w:pPr>
            <w:r>
              <w:rPr>
                <w:rFonts w:ascii="Arial" w:hAnsi="Arial" w:cs="Arial"/>
                <w:color w:val="000000"/>
                <w:sz w:val="20"/>
                <w:szCs w:val="20"/>
              </w:rPr>
              <w:t>Broad protection against discrimination based on SO </w:t>
            </w:r>
          </w:p>
        </w:tc>
        <w:tc>
          <w:tcPr>
            <w:tcW w:w="0" w:type="auto"/>
            <w:hideMark/>
          </w:tcPr>
          <w:p w14:paraId="375E6ECF"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57</w:t>
            </w:r>
          </w:p>
        </w:tc>
        <w:tc>
          <w:tcPr>
            <w:tcW w:w="0" w:type="auto"/>
            <w:hideMark/>
          </w:tcPr>
          <w:p w14:paraId="3CCDBC9D"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30%</w:t>
            </w:r>
          </w:p>
        </w:tc>
        <w:tc>
          <w:tcPr>
            <w:tcW w:w="0" w:type="auto"/>
            <w:hideMark/>
          </w:tcPr>
          <w:p w14:paraId="3BC99C77"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5</w:t>
            </w:r>
          </w:p>
        </w:tc>
        <w:tc>
          <w:tcPr>
            <w:tcW w:w="0" w:type="auto"/>
            <w:hideMark/>
          </w:tcPr>
          <w:p w14:paraId="40845B5F"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36%</w:t>
            </w:r>
          </w:p>
        </w:tc>
        <w:tc>
          <w:tcPr>
            <w:tcW w:w="0" w:type="auto"/>
            <w:hideMark/>
          </w:tcPr>
          <w:p w14:paraId="30B212B2"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3</w:t>
            </w:r>
          </w:p>
        </w:tc>
        <w:tc>
          <w:tcPr>
            <w:tcW w:w="0" w:type="auto"/>
            <w:hideMark/>
          </w:tcPr>
          <w:p w14:paraId="3A83FF92"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7%</w:t>
            </w:r>
          </w:p>
        </w:tc>
      </w:tr>
      <w:tr w:rsidR="00697E22" w14:paraId="502EB0AC" w14:textId="77777777" w:rsidTr="009D4601">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42CA43DF" w14:textId="77777777" w:rsidR="00697E22" w:rsidRDefault="00697E22" w:rsidP="00420041">
            <w:pPr>
              <w:pStyle w:val="NormalWeb"/>
              <w:spacing w:before="120" w:beforeAutospacing="0" w:after="120" w:afterAutospacing="0" w:line="276" w:lineRule="auto"/>
            </w:pPr>
            <w:r>
              <w:rPr>
                <w:rFonts w:ascii="Arial" w:hAnsi="Arial" w:cs="Arial"/>
                <w:color w:val="000000"/>
                <w:sz w:val="20"/>
                <w:szCs w:val="20"/>
              </w:rPr>
              <w:t>Protection against discrimination based on SO in employment </w:t>
            </w:r>
          </w:p>
        </w:tc>
        <w:tc>
          <w:tcPr>
            <w:tcW w:w="0" w:type="auto"/>
            <w:hideMark/>
          </w:tcPr>
          <w:p w14:paraId="649A885E"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81</w:t>
            </w:r>
          </w:p>
        </w:tc>
        <w:tc>
          <w:tcPr>
            <w:tcW w:w="0" w:type="auto"/>
            <w:hideMark/>
          </w:tcPr>
          <w:p w14:paraId="176E6D7F"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42%</w:t>
            </w:r>
          </w:p>
        </w:tc>
        <w:tc>
          <w:tcPr>
            <w:tcW w:w="0" w:type="auto"/>
            <w:hideMark/>
          </w:tcPr>
          <w:p w14:paraId="026B5178"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8</w:t>
            </w:r>
          </w:p>
        </w:tc>
        <w:tc>
          <w:tcPr>
            <w:tcW w:w="0" w:type="auto"/>
            <w:hideMark/>
          </w:tcPr>
          <w:p w14:paraId="6A212223"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57%</w:t>
            </w:r>
          </w:p>
        </w:tc>
        <w:tc>
          <w:tcPr>
            <w:tcW w:w="0" w:type="auto"/>
            <w:hideMark/>
          </w:tcPr>
          <w:p w14:paraId="142785BE"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4</w:t>
            </w:r>
          </w:p>
        </w:tc>
        <w:tc>
          <w:tcPr>
            <w:tcW w:w="0" w:type="auto"/>
            <w:hideMark/>
          </w:tcPr>
          <w:p w14:paraId="4B427927"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10%</w:t>
            </w:r>
          </w:p>
        </w:tc>
      </w:tr>
      <w:tr w:rsidR="00697E22" w14:paraId="536E1FF8" w14:textId="77777777" w:rsidTr="009D460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2A3C98B8" w14:textId="77777777" w:rsidR="00697E22" w:rsidRDefault="00697E22" w:rsidP="00420041">
            <w:pPr>
              <w:pStyle w:val="NormalWeb"/>
              <w:spacing w:before="120" w:beforeAutospacing="0" w:after="120" w:afterAutospacing="0" w:line="276" w:lineRule="auto"/>
            </w:pPr>
            <w:r>
              <w:rPr>
                <w:rFonts w:ascii="Arial" w:hAnsi="Arial" w:cs="Arial"/>
                <w:color w:val="000000"/>
                <w:sz w:val="20"/>
                <w:szCs w:val="20"/>
              </w:rPr>
              <w:t xml:space="preserve">Criminal liability for offences committed on the basis of SO </w:t>
            </w:r>
            <w:proofErr w:type="gramStart"/>
            <w:r>
              <w:rPr>
                <w:rFonts w:ascii="Arial" w:hAnsi="Arial" w:cs="Arial"/>
                <w:color w:val="000000"/>
                <w:sz w:val="20"/>
                <w:szCs w:val="20"/>
              </w:rPr>
              <w:t>e.g.</w:t>
            </w:r>
            <w:proofErr w:type="gramEnd"/>
            <w:r>
              <w:rPr>
                <w:rFonts w:ascii="Arial" w:hAnsi="Arial" w:cs="Arial"/>
                <w:color w:val="000000"/>
                <w:sz w:val="20"/>
                <w:szCs w:val="20"/>
              </w:rPr>
              <w:t xml:space="preserve"> hate crime laws</w:t>
            </w:r>
          </w:p>
        </w:tc>
        <w:tc>
          <w:tcPr>
            <w:tcW w:w="0" w:type="auto"/>
            <w:hideMark/>
          </w:tcPr>
          <w:p w14:paraId="71BB8356"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48</w:t>
            </w:r>
          </w:p>
        </w:tc>
        <w:tc>
          <w:tcPr>
            <w:tcW w:w="0" w:type="auto"/>
            <w:hideMark/>
          </w:tcPr>
          <w:p w14:paraId="41AA78CC"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25%</w:t>
            </w:r>
          </w:p>
        </w:tc>
        <w:tc>
          <w:tcPr>
            <w:tcW w:w="0" w:type="auto"/>
            <w:hideMark/>
          </w:tcPr>
          <w:p w14:paraId="43E8FC02"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w:t>
            </w:r>
          </w:p>
        </w:tc>
        <w:tc>
          <w:tcPr>
            <w:tcW w:w="0" w:type="auto"/>
            <w:hideMark/>
          </w:tcPr>
          <w:p w14:paraId="5C18A0A8"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14%</w:t>
            </w:r>
          </w:p>
        </w:tc>
        <w:tc>
          <w:tcPr>
            <w:tcW w:w="0" w:type="auto"/>
            <w:hideMark/>
          </w:tcPr>
          <w:p w14:paraId="37D83542"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w:t>
            </w:r>
          </w:p>
        </w:tc>
        <w:tc>
          <w:tcPr>
            <w:tcW w:w="0" w:type="auto"/>
            <w:hideMark/>
          </w:tcPr>
          <w:p w14:paraId="7C7FF1DA"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5%</w:t>
            </w:r>
          </w:p>
        </w:tc>
      </w:tr>
      <w:tr w:rsidR="00697E22" w14:paraId="0E71C14D" w14:textId="77777777" w:rsidTr="009D4601">
        <w:trPr>
          <w:cnfStyle w:val="000000010000" w:firstRow="0" w:lastRow="0" w:firstColumn="0" w:lastColumn="0" w:oddVBand="0" w:evenVBand="0" w:oddHBand="0" w:evenHBand="1"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0" w:type="auto"/>
            <w:hideMark/>
          </w:tcPr>
          <w:p w14:paraId="42CD5CF6" w14:textId="684F3D46" w:rsidR="00697E22" w:rsidRDefault="00697E22" w:rsidP="00420041">
            <w:pPr>
              <w:pStyle w:val="NormalWeb"/>
              <w:spacing w:before="120" w:beforeAutospacing="0" w:after="120" w:afterAutospacing="0" w:line="276" w:lineRule="auto"/>
            </w:pPr>
            <w:r>
              <w:rPr>
                <w:rFonts w:ascii="Arial" w:hAnsi="Arial" w:cs="Arial"/>
                <w:color w:val="000000"/>
                <w:sz w:val="20"/>
                <w:szCs w:val="20"/>
              </w:rPr>
              <w:t xml:space="preserve">Prohibition of incitement to hatred, violence or </w:t>
            </w:r>
            <w:r w:rsidR="009D4601">
              <w:rPr>
                <w:rFonts w:ascii="Arial" w:hAnsi="Arial" w:cs="Arial"/>
                <w:color w:val="000000"/>
                <w:sz w:val="20"/>
                <w:szCs w:val="20"/>
              </w:rPr>
              <w:t>discrimination</w:t>
            </w:r>
            <w:r>
              <w:rPr>
                <w:rFonts w:ascii="Arial" w:hAnsi="Arial" w:cs="Arial"/>
                <w:color w:val="000000"/>
                <w:sz w:val="20"/>
                <w:szCs w:val="20"/>
              </w:rPr>
              <w:t xml:space="preserve"> based on SO </w:t>
            </w:r>
          </w:p>
        </w:tc>
        <w:tc>
          <w:tcPr>
            <w:tcW w:w="0" w:type="auto"/>
            <w:hideMark/>
          </w:tcPr>
          <w:p w14:paraId="5B742A79"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45</w:t>
            </w:r>
          </w:p>
        </w:tc>
        <w:tc>
          <w:tcPr>
            <w:tcW w:w="0" w:type="auto"/>
            <w:hideMark/>
          </w:tcPr>
          <w:p w14:paraId="128E4D62"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23%</w:t>
            </w:r>
          </w:p>
        </w:tc>
        <w:tc>
          <w:tcPr>
            <w:tcW w:w="0" w:type="auto"/>
            <w:hideMark/>
          </w:tcPr>
          <w:p w14:paraId="783B71E1"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w:t>
            </w:r>
          </w:p>
        </w:tc>
        <w:tc>
          <w:tcPr>
            <w:tcW w:w="0" w:type="auto"/>
            <w:hideMark/>
          </w:tcPr>
          <w:p w14:paraId="1B8CB74E"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7%</w:t>
            </w:r>
          </w:p>
        </w:tc>
        <w:tc>
          <w:tcPr>
            <w:tcW w:w="0" w:type="auto"/>
            <w:hideMark/>
          </w:tcPr>
          <w:p w14:paraId="0060FAD7"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0</w:t>
            </w:r>
          </w:p>
        </w:tc>
        <w:tc>
          <w:tcPr>
            <w:tcW w:w="0" w:type="auto"/>
            <w:hideMark/>
          </w:tcPr>
          <w:p w14:paraId="2383B2DE"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0%</w:t>
            </w:r>
          </w:p>
        </w:tc>
      </w:tr>
      <w:tr w:rsidR="00697E22" w14:paraId="0423D7B0" w14:textId="77777777" w:rsidTr="009D460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3D114FE2" w14:textId="77777777" w:rsidR="00697E22" w:rsidRDefault="00697E22" w:rsidP="00420041">
            <w:pPr>
              <w:pStyle w:val="NormalWeb"/>
              <w:spacing w:before="120" w:beforeAutospacing="0" w:after="120" w:afterAutospacing="0" w:line="276" w:lineRule="auto"/>
            </w:pPr>
            <w:r>
              <w:rPr>
                <w:rFonts w:ascii="Arial" w:hAnsi="Arial" w:cs="Arial"/>
                <w:color w:val="000000"/>
                <w:sz w:val="20"/>
                <w:szCs w:val="20"/>
              </w:rPr>
              <w:t>Ban against conversion therapy practices </w:t>
            </w:r>
          </w:p>
        </w:tc>
        <w:tc>
          <w:tcPr>
            <w:tcW w:w="0" w:type="auto"/>
            <w:hideMark/>
          </w:tcPr>
          <w:p w14:paraId="5C3271AF"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4</w:t>
            </w:r>
          </w:p>
        </w:tc>
        <w:tc>
          <w:tcPr>
            <w:tcW w:w="0" w:type="auto"/>
            <w:hideMark/>
          </w:tcPr>
          <w:p w14:paraId="16402596"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w:t>
            </w:r>
          </w:p>
        </w:tc>
        <w:tc>
          <w:tcPr>
            <w:tcW w:w="0" w:type="auto"/>
            <w:hideMark/>
          </w:tcPr>
          <w:p w14:paraId="35EEAB42"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0</w:t>
            </w:r>
          </w:p>
        </w:tc>
        <w:tc>
          <w:tcPr>
            <w:tcW w:w="0" w:type="auto"/>
            <w:hideMark/>
          </w:tcPr>
          <w:p w14:paraId="202CCC8F"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0%</w:t>
            </w:r>
          </w:p>
        </w:tc>
        <w:tc>
          <w:tcPr>
            <w:tcW w:w="0" w:type="auto"/>
            <w:hideMark/>
          </w:tcPr>
          <w:p w14:paraId="71B04BA9"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0</w:t>
            </w:r>
          </w:p>
        </w:tc>
        <w:tc>
          <w:tcPr>
            <w:tcW w:w="0" w:type="auto"/>
            <w:hideMark/>
          </w:tcPr>
          <w:p w14:paraId="135377B3"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0%</w:t>
            </w:r>
          </w:p>
        </w:tc>
      </w:tr>
      <w:tr w:rsidR="00697E22" w14:paraId="0C75459F" w14:textId="77777777" w:rsidTr="009D4601">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6E161D41" w14:textId="77777777" w:rsidR="00697E22" w:rsidRDefault="00697E22" w:rsidP="00420041">
            <w:pPr>
              <w:pStyle w:val="NormalWeb"/>
              <w:spacing w:before="120" w:beforeAutospacing="0" w:after="120" w:afterAutospacing="0" w:line="276" w:lineRule="auto"/>
            </w:pPr>
            <w:r>
              <w:rPr>
                <w:rFonts w:ascii="Arial" w:hAnsi="Arial" w:cs="Arial"/>
                <w:color w:val="000000"/>
                <w:sz w:val="20"/>
                <w:szCs w:val="20"/>
              </w:rPr>
              <w:t>Same-sex marriage </w:t>
            </w:r>
          </w:p>
        </w:tc>
        <w:tc>
          <w:tcPr>
            <w:tcW w:w="0" w:type="auto"/>
            <w:hideMark/>
          </w:tcPr>
          <w:p w14:paraId="616D27CB"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28</w:t>
            </w:r>
          </w:p>
        </w:tc>
        <w:tc>
          <w:tcPr>
            <w:tcW w:w="0" w:type="auto"/>
            <w:hideMark/>
          </w:tcPr>
          <w:p w14:paraId="339C8737"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15%</w:t>
            </w:r>
          </w:p>
        </w:tc>
        <w:tc>
          <w:tcPr>
            <w:tcW w:w="0" w:type="auto"/>
            <w:hideMark/>
          </w:tcPr>
          <w:p w14:paraId="16FC151C"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2</w:t>
            </w:r>
          </w:p>
        </w:tc>
        <w:tc>
          <w:tcPr>
            <w:tcW w:w="0" w:type="auto"/>
            <w:hideMark/>
          </w:tcPr>
          <w:p w14:paraId="5FC29BA0"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14%</w:t>
            </w:r>
          </w:p>
        </w:tc>
        <w:tc>
          <w:tcPr>
            <w:tcW w:w="0" w:type="auto"/>
            <w:hideMark/>
          </w:tcPr>
          <w:p w14:paraId="47D93BC4"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0</w:t>
            </w:r>
          </w:p>
        </w:tc>
        <w:tc>
          <w:tcPr>
            <w:tcW w:w="0" w:type="auto"/>
            <w:hideMark/>
          </w:tcPr>
          <w:p w14:paraId="73D6A498"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0%</w:t>
            </w:r>
          </w:p>
        </w:tc>
      </w:tr>
      <w:tr w:rsidR="00697E22" w14:paraId="73EF2C2D" w14:textId="77777777" w:rsidTr="009D460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09FC958B" w14:textId="77777777" w:rsidR="00697E22" w:rsidRDefault="00697E22" w:rsidP="00420041">
            <w:pPr>
              <w:pStyle w:val="NormalWeb"/>
              <w:spacing w:before="120" w:beforeAutospacing="0" w:after="120" w:afterAutospacing="0" w:line="276" w:lineRule="auto"/>
            </w:pPr>
            <w:r>
              <w:rPr>
                <w:rFonts w:ascii="Arial" w:hAnsi="Arial" w:cs="Arial"/>
                <w:color w:val="000000"/>
                <w:sz w:val="20"/>
                <w:szCs w:val="20"/>
              </w:rPr>
              <w:t>Partnership recognition for same-sex couples</w:t>
            </w:r>
          </w:p>
        </w:tc>
        <w:tc>
          <w:tcPr>
            <w:tcW w:w="0" w:type="auto"/>
            <w:hideMark/>
          </w:tcPr>
          <w:p w14:paraId="3A01B27D"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34</w:t>
            </w:r>
          </w:p>
        </w:tc>
        <w:tc>
          <w:tcPr>
            <w:tcW w:w="0" w:type="auto"/>
            <w:hideMark/>
          </w:tcPr>
          <w:p w14:paraId="6E2939B4"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18%</w:t>
            </w:r>
          </w:p>
        </w:tc>
        <w:tc>
          <w:tcPr>
            <w:tcW w:w="0" w:type="auto"/>
            <w:hideMark/>
          </w:tcPr>
          <w:p w14:paraId="3E97957E"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w:t>
            </w:r>
          </w:p>
        </w:tc>
        <w:tc>
          <w:tcPr>
            <w:tcW w:w="0" w:type="auto"/>
            <w:hideMark/>
          </w:tcPr>
          <w:p w14:paraId="584EDA37"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14%</w:t>
            </w:r>
          </w:p>
        </w:tc>
        <w:tc>
          <w:tcPr>
            <w:tcW w:w="0" w:type="auto"/>
            <w:hideMark/>
          </w:tcPr>
          <w:p w14:paraId="641648D8"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w:t>
            </w:r>
          </w:p>
        </w:tc>
        <w:tc>
          <w:tcPr>
            <w:tcW w:w="0" w:type="auto"/>
            <w:hideMark/>
          </w:tcPr>
          <w:p w14:paraId="45F570A4"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w:t>
            </w:r>
          </w:p>
        </w:tc>
      </w:tr>
      <w:tr w:rsidR="00697E22" w14:paraId="0203230C" w14:textId="77777777" w:rsidTr="009D4601">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397EAA11" w14:textId="77777777" w:rsidR="00697E22" w:rsidRDefault="00697E22" w:rsidP="00420041">
            <w:pPr>
              <w:pStyle w:val="NormalWeb"/>
              <w:spacing w:before="120" w:beforeAutospacing="0" w:after="120" w:afterAutospacing="0" w:line="276" w:lineRule="auto"/>
            </w:pPr>
            <w:r>
              <w:rPr>
                <w:rFonts w:ascii="Arial" w:hAnsi="Arial" w:cs="Arial"/>
                <w:color w:val="000000"/>
                <w:sz w:val="20"/>
                <w:szCs w:val="20"/>
              </w:rPr>
              <w:t>Joint adoption by same-sex couples</w:t>
            </w:r>
          </w:p>
        </w:tc>
        <w:tc>
          <w:tcPr>
            <w:tcW w:w="0" w:type="auto"/>
            <w:hideMark/>
          </w:tcPr>
          <w:p w14:paraId="4B4F216C"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28</w:t>
            </w:r>
          </w:p>
        </w:tc>
        <w:tc>
          <w:tcPr>
            <w:tcW w:w="0" w:type="auto"/>
            <w:hideMark/>
          </w:tcPr>
          <w:p w14:paraId="35C1FE82"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15%</w:t>
            </w:r>
          </w:p>
        </w:tc>
        <w:tc>
          <w:tcPr>
            <w:tcW w:w="0" w:type="auto"/>
            <w:hideMark/>
          </w:tcPr>
          <w:p w14:paraId="6E4D85A2"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2</w:t>
            </w:r>
          </w:p>
        </w:tc>
        <w:tc>
          <w:tcPr>
            <w:tcW w:w="0" w:type="auto"/>
            <w:hideMark/>
          </w:tcPr>
          <w:p w14:paraId="2F0C91D6"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14%</w:t>
            </w:r>
          </w:p>
        </w:tc>
        <w:tc>
          <w:tcPr>
            <w:tcW w:w="0" w:type="auto"/>
            <w:hideMark/>
          </w:tcPr>
          <w:p w14:paraId="10438D7F"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w:t>
            </w:r>
          </w:p>
        </w:tc>
        <w:tc>
          <w:tcPr>
            <w:tcW w:w="0" w:type="auto"/>
            <w:hideMark/>
          </w:tcPr>
          <w:p w14:paraId="0A97F0F2"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2%</w:t>
            </w:r>
          </w:p>
        </w:tc>
      </w:tr>
      <w:tr w:rsidR="009D4601" w14:paraId="769D1651" w14:textId="77777777" w:rsidTr="009D4601">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4D644080" w14:textId="77777777" w:rsidR="00697E22" w:rsidRDefault="00697E22" w:rsidP="00420041">
            <w:pPr>
              <w:pStyle w:val="NormalWeb"/>
              <w:spacing w:before="120" w:beforeAutospacing="0" w:after="120" w:afterAutospacing="0" w:line="276" w:lineRule="auto"/>
            </w:pPr>
            <w:r>
              <w:rPr>
                <w:rFonts w:ascii="Arial" w:hAnsi="Arial" w:cs="Arial"/>
                <w:color w:val="000000"/>
                <w:sz w:val="20"/>
                <w:szCs w:val="20"/>
              </w:rPr>
              <w:t>Second parent adoption by same-sex couples </w:t>
            </w:r>
          </w:p>
        </w:tc>
        <w:tc>
          <w:tcPr>
            <w:tcW w:w="0" w:type="auto"/>
            <w:hideMark/>
          </w:tcPr>
          <w:p w14:paraId="1A0B50BC"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32</w:t>
            </w:r>
          </w:p>
        </w:tc>
        <w:tc>
          <w:tcPr>
            <w:tcW w:w="0" w:type="auto"/>
            <w:hideMark/>
          </w:tcPr>
          <w:p w14:paraId="3F250BCC"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17%</w:t>
            </w:r>
          </w:p>
        </w:tc>
        <w:tc>
          <w:tcPr>
            <w:tcW w:w="0" w:type="auto"/>
            <w:hideMark/>
          </w:tcPr>
          <w:p w14:paraId="0B42603D"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w:t>
            </w:r>
          </w:p>
        </w:tc>
        <w:tc>
          <w:tcPr>
            <w:tcW w:w="0" w:type="auto"/>
            <w:hideMark/>
          </w:tcPr>
          <w:p w14:paraId="0C72B072"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14%</w:t>
            </w:r>
          </w:p>
        </w:tc>
        <w:tc>
          <w:tcPr>
            <w:tcW w:w="0" w:type="auto"/>
            <w:hideMark/>
          </w:tcPr>
          <w:p w14:paraId="26E7C64E"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w:t>
            </w:r>
          </w:p>
        </w:tc>
        <w:tc>
          <w:tcPr>
            <w:tcW w:w="0" w:type="auto"/>
            <w:hideMark/>
          </w:tcPr>
          <w:p w14:paraId="24AF5D5A"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w:t>
            </w:r>
          </w:p>
        </w:tc>
      </w:tr>
    </w:tbl>
    <w:p w14:paraId="036E0C5A" w14:textId="77777777" w:rsidR="00697E22" w:rsidRDefault="00697E22" w:rsidP="00420041">
      <w:pPr>
        <w:spacing w:after="240" w:line="276" w:lineRule="auto"/>
      </w:pPr>
    </w:p>
    <w:p w14:paraId="2FDC93F7" w14:textId="77777777" w:rsidR="00697E22" w:rsidRPr="009D4601" w:rsidRDefault="00697E22" w:rsidP="00420041">
      <w:pPr>
        <w:pStyle w:val="NormalWeb"/>
        <w:spacing w:before="0" w:beforeAutospacing="0" w:after="0" w:afterAutospacing="0" w:line="276" w:lineRule="auto"/>
        <w:jc w:val="both"/>
        <w:rPr>
          <w:sz w:val="20"/>
          <w:szCs w:val="20"/>
        </w:rPr>
      </w:pPr>
      <w:r w:rsidRPr="009D4601">
        <w:rPr>
          <w:rFonts w:ascii="Arial" w:hAnsi="Arial" w:cs="Arial"/>
          <w:color w:val="000000"/>
          <w:sz w:val="20"/>
          <w:szCs w:val="20"/>
        </w:rPr>
        <w:lastRenderedPageBreak/>
        <w:t>Discrimination based on sexual orientation is evident in all countries in this region and there are very few laws providing protection against discrimination.</w:t>
      </w:r>
    </w:p>
    <w:p w14:paraId="3C253835" w14:textId="77777777" w:rsidR="00697E22" w:rsidRPr="009D4601" w:rsidRDefault="00697E22" w:rsidP="00420041">
      <w:pPr>
        <w:spacing w:line="276" w:lineRule="auto"/>
        <w:jc w:val="both"/>
        <w:rPr>
          <w:sz w:val="20"/>
          <w:szCs w:val="20"/>
        </w:rPr>
      </w:pPr>
    </w:p>
    <w:p w14:paraId="7AEA1C0C" w14:textId="77777777" w:rsidR="00697E22" w:rsidRPr="009D4601" w:rsidRDefault="00697E22" w:rsidP="00420041">
      <w:pPr>
        <w:pStyle w:val="NormalWeb"/>
        <w:spacing w:before="0" w:beforeAutospacing="0" w:after="0" w:afterAutospacing="0" w:line="276" w:lineRule="auto"/>
        <w:jc w:val="both"/>
        <w:rPr>
          <w:sz w:val="20"/>
          <w:szCs w:val="20"/>
        </w:rPr>
      </w:pPr>
      <w:r w:rsidRPr="009D4601">
        <w:rPr>
          <w:rFonts w:ascii="Arial" w:hAnsi="Arial" w:cs="Arial"/>
          <w:color w:val="000000"/>
          <w:sz w:val="20"/>
          <w:szCs w:val="20"/>
        </w:rPr>
        <w:t xml:space="preserve">The High Commissioner for Human Rights and special procedures (independent experts) established by the Human Rights Council have reported that lesbian, gay and bisexual people are deprived of access to basic rights. These include lack of employment, health, </w:t>
      </w:r>
      <w:proofErr w:type="gramStart"/>
      <w:r w:rsidRPr="009D4601">
        <w:rPr>
          <w:rFonts w:ascii="Arial" w:hAnsi="Arial" w:cs="Arial"/>
          <w:color w:val="000000"/>
          <w:sz w:val="20"/>
          <w:szCs w:val="20"/>
        </w:rPr>
        <w:t>education</w:t>
      </w:r>
      <w:proofErr w:type="gramEnd"/>
      <w:r w:rsidRPr="009D4601">
        <w:rPr>
          <w:rFonts w:ascii="Arial" w:hAnsi="Arial" w:cs="Arial"/>
          <w:color w:val="000000"/>
          <w:sz w:val="20"/>
          <w:szCs w:val="20"/>
        </w:rPr>
        <w:t xml:space="preserve"> and housing leading to very few economic opportunities, resulting in poverty. Studies, including research within countries from Asia Pacific, suggest that rates of poverty, homelessness and food insecurity are higher amongst LGB people than in the wider community.</w:t>
      </w:r>
    </w:p>
    <w:p w14:paraId="0242ED8D" w14:textId="77777777" w:rsidR="00697E22" w:rsidRPr="009D4601" w:rsidRDefault="00697E22" w:rsidP="00420041">
      <w:pPr>
        <w:spacing w:line="276" w:lineRule="auto"/>
        <w:jc w:val="both"/>
        <w:rPr>
          <w:sz w:val="20"/>
          <w:szCs w:val="20"/>
        </w:rPr>
      </w:pPr>
    </w:p>
    <w:p w14:paraId="5C9FF0FE" w14:textId="77777777" w:rsidR="00697E22" w:rsidRPr="009D4601" w:rsidRDefault="00697E22" w:rsidP="00420041">
      <w:pPr>
        <w:pStyle w:val="NormalWeb"/>
        <w:spacing w:before="0" w:beforeAutospacing="0" w:after="0" w:afterAutospacing="0" w:line="276" w:lineRule="auto"/>
        <w:jc w:val="both"/>
        <w:rPr>
          <w:sz w:val="20"/>
          <w:szCs w:val="20"/>
        </w:rPr>
      </w:pPr>
      <w:r w:rsidRPr="009D4601">
        <w:rPr>
          <w:rFonts w:ascii="Arial" w:hAnsi="Arial" w:cs="Arial"/>
          <w:color w:val="000000"/>
          <w:sz w:val="20"/>
          <w:szCs w:val="20"/>
        </w:rPr>
        <w:t>Discriminatory practices are commonly encountered by lesbian, gay and bisexual people in relation to: </w:t>
      </w:r>
    </w:p>
    <w:p w14:paraId="7EED3802" w14:textId="77777777" w:rsidR="00697E22" w:rsidRPr="009D4601" w:rsidRDefault="00697E22" w:rsidP="00420041">
      <w:pPr>
        <w:pStyle w:val="NormalWeb"/>
        <w:numPr>
          <w:ilvl w:val="0"/>
          <w:numId w:val="30"/>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health care (</w:t>
      </w:r>
      <w:proofErr w:type="gramStart"/>
      <w:r w:rsidRPr="009D4601">
        <w:rPr>
          <w:rFonts w:ascii="Arial" w:hAnsi="Arial" w:cs="Arial"/>
          <w:color w:val="000000"/>
          <w:sz w:val="20"/>
          <w:szCs w:val="20"/>
        </w:rPr>
        <w:t>e.g.</w:t>
      </w:r>
      <w:proofErr w:type="gramEnd"/>
      <w:r w:rsidRPr="009D4601">
        <w:rPr>
          <w:rFonts w:ascii="Arial" w:hAnsi="Arial" w:cs="Arial"/>
          <w:color w:val="000000"/>
          <w:sz w:val="20"/>
          <w:szCs w:val="20"/>
        </w:rPr>
        <w:t xml:space="preserve"> degrading treatment or refusal of care)</w:t>
      </w:r>
    </w:p>
    <w:p w14:paraId="6D8A9F9B" w14:textId="77777777" w:rsidR="00697E22" w:rsidRPr="009D4601" w:rsidRDefault="00697E22" w:rsidP="00420041">
      <w:pPr>
        <w:pStyle w:val="NormalWeb"/>
        <w:numPr>
          <w:ilvl w:val="0"/>
          <w:numId w:val="30"/>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education (</w:t>
      </w:r>
      <w:proofErr w:type="gramStart"/>
      <w:r w:rsidRPr="009D4601">
        <w:rPr>
          <w:rFonts w:ascii="Arial" w:hAnsi="Arial" w:cs="Arial"/>
          <w:color w:val="000000"/>
          <w:sz w:val="20"/>
          <w:szCs w:val="20"/>
        </w:rPr>
        <w:t>e.g.</w:t>
      </w:r>
      <w:proofErr w:type="gramEnd"/>
      <w:r w:rsidRPr="009D4601">
        <w:rPr>
          <w:rFonts w:ascii="Arial" w:hAnsi="Arial" w:cs="Arial"/>
          <w:color w:val="000000"/>
          <w:sz w:val="20"/>
          <w:szCs w:val="20"/>
        </w:rPr>
        <w:t xml:space="preserve"> bullying and harassment at school)</w:t>
      </w:r>
    </w:p>
    <w:p w14:paraId="7A19F950" w14:textId="77777777" w:rsidR="00697E22" w:rsidRPr="009D4601" w:rsidRDefault="00697E22" w:rsidP="00420041">
      <w:pPr>
        <w:pStyle w:val="NormalWeb"/>
        <w:numPr>
          <w:ilvl w:val="0"/>
          <w:numId w:val="30"/>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employment (</w:t>
      </w:r>
      <w:proofErr w:type="gramStart"/>
      <w:r w:rsidRPr="009D4601">
        <w:rPr>
          <w:rFonts w:ascii="Arial" w:hAnsi="Arial" w:cs="Arial"/>
          <w:color w:val="000000"/>
          <w:sz w:val="20"/>
          <w:szCs w:val="20"/>
        </w:rPr>
        <w:t>e.g.</w:t>
      </w:r>
      <w:proofErr w:type="gramEnd"/>
      <w:r w:rsidRPr="009D4601">
        <w:rPr>
          <w:rFonts w:ascii="Arial" w:hAnsi="Arial" w:cs="Arial"/>
          <w:color w:val="000000"/>
          <w:sz w:val="20"/>
          <w:szCs w:val="20"/>
        </w:rPr>
        <w:t xml:space="preserve"> not being hired or being fired because of their sexual orientation)</w:t>
      </w:r>
    </w:p>
    <w:p w14:paraId="517E6394" w14:textId="77777777" w:rsidR="00697E22" w:rsidRPr="009D4601" w:rsidRDefault="00697E22" w:rsidP="00420041">
      <w:pPr>
        <w:pStyle w:val="NormalWeb"/>
        <w:numPr>
          <w:ilvl w:val="0"/>
          <w:numId w:val="30"/>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housing (</w:t>
      </w:r>
      <w:proofErr w:type="gramStart"/>
      <w:r w:rsidRPr="009D4601">
        <w:rPr>
          <w:rFonts w:ascii="Arial" w:hAnsi="Arial" w:cs="Arial"/>
          <w:color w:val="000000"/>
          <w:sz w:val="20"/>
          <w:szCs w:val="20"/>
        </w:rPr>
        <w:t>e.g.</w:t>
      </w:r>
      <w:proofErr w:type="gramEnd"/>
      <w:r w:rsidRPr="009D4601">
        <w:rPr>
          <w:rFonts w:ascii="Arial" w:hAnsi="Arial" w:cs="Arial"/>
          <w:color w:val="000000"/>
          <w:sz w:val="20"/>
          <w:szCs w:val="20"/>
        </w:rPr>
        <w:t xml:space="preserve"> being evicted from the family home or refused rental accommodation)</w:t>
      </w:r>
    </w:p>
    <w:p w14:paraId="78BF05CB" w14:textId="77777777" w:rsidR="00697E22" w:rsidRPr="009D4601" w:rsidRDefault="00697E22" w:rsidP="00420041">
      <w:pPr>
        <w:pStyle w:val="NormalWeb"/>
        <w:numPr>
          <w:ilvl w:val="0"/>
          <w:numId w:val="30"/>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asylum and migration (</w:t>
      </w:r>
      <w:proofErr w:type="gramStart"/>
      <w:r w:rsidRPr="009D4601">
        <w:rPr>
          <w:rFonts w:ascii="Arial" w:hAnsi="Arial" w:cs="Arial"/>
          <w:color w:val="000000"/>
          <w:sz w:val="20"/>
          <w:szCs w:val="20"/>
        </w:rPr>
        <w:t>e.g.</w:t>
      </w:r>
      <w:proofErr w:type="gramEnd"/>
      <w:r w:rsidRPr="009D4601">
        <w:rPr>
          <w:rFonts w:ascii="Arial" w:hAnsi="Arial" w:cs="Arial"/>
          <w:color w:val="000000"/>
          <w:sz w:val="20"/>
          <w:szCs w:val="20"/>
        </w:rPr>
        <w:t xml:space="preserve"> being denied visas based on their sexual orientation or being told asylum is not necessary if they did not disclose they are gay) </w:t>
      </w:r>
    </w:p>
    <w:p w14:paraId="534E4590" w14:textId="77777777" w:rsidR="00697E22" w:rsidRPr="009D4601" w:rsidRDefault="00697E22" w:rsidP="00420041">
      <w:pPr>
        <w:pStyle w:val="NormalWeb"/>
        <w:numPr>
          <w:ilvl w:val="0"/>
          <w:numId w:val="30"/>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family and community (</w:t>
      </w:r>
      <w:proofErr w:type="gramStart"/>
      <w:r w:rsidRPr="009D4601">
        <w:rPr>
          <w:rFonts w:ascii="Arial" w:hAnsi="Arial" w:cs="Arial"/>
          <w:color w:val="000000"/>
          <w:sz w:val="20"/>
          <w:szCs w:val="20"/>
        </w:rPr>
        <w:t>e.g.</w:t>
      </w:r>
      <w:proofErr w:type="gramEnd"/>
      <w:r w:rsidRPr="009D4601">
        <w:rPr>
          <w:rFonts w:ascii="Arial" w:hAnsi="Arial" w:cs="Arial"/>
          <w:color w:val="000000"/>
          <w:sz w:val="20"/>
          <w:szCs w:val="20"/>
        </w:rPr>
        <w:t xml:space="preserve"> being forced to marry or taken to a community leader who will try to change their sexual orientation) and</w:t>
      </w:r>
    </w:p>
    <w:p w14:paraId="7CCF9939" w14:textId="133FE2C8" w:rsidR="00697E22" w:rsidRDefault="00697E22" w:rsidP="00420041">
      <w:pPr>
        <w:pStyle w:val="NormalWeb"/>
        <w:numPr>
          <w:ilvl w:val="0"/>
          <w:numId w:val="30"/>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relationship recognition (</w:t>
      </w:r>
      <w:proofErr w:type="gramStart"/>
      <w:r w:rsidRPr="009D4601">
        <w:rPr>
          <w:rFonts w:ascii="Arial" w:hAnsi="Arial" w:cs="Arial"/>
          <w:color w:val="000000"/>
          <w:sz w:val="20"/>
          <w:szCs w:val="20"/>
        </w:rPr>
        <w:t>e.g.</w:t>
      </w:r>
      <w:proofErr w:type="gramEnd"/>
      <w:r w:rsidRPr="009D4601">
        <w:rPr>
          <w:rFonts w:ascii="Arial" w:hAnsi="Arial" w:cs="Arial"/>
          <w:color w:val="000000"/>
          <w:sz w:val="20"/>
          <w:szCs w:val="20"/>
        </w:rPr>
        <w:t xml:space="preserve"> if a same-sex couple cannot legally get married, not giving them the same rights as other </w:t>
      </w:r>
      <w:r w:rsidR="009D4601" w:rsidRPr="009D4601">
        <w:rPr>
          <w:rFonts w:ascii="Arial" w:hAnsi="Arial" w:cs="Arial"/>
          <w:color w:val="000000"/>
          <w:sz w:val="20"/>
          <w:szCs w:val="20"/>
        </w:rPr>
        <w:t>unmarried</w:t>
      </w:r>
      <w:r w:rsidRPr="009D4601">
        <w:rPr>
          <w:rFonts w:ascii="Arial" w:hAnsi="Arial" w:cs="Arial"/>
          <w:color w:val="000000"/>
          <w:sz w:val="20"/>
          <w:szCs w:val="20"/>
        </w:rPr>
        <w:t xml:space="preserve"> couples).</w:t>
      </w:r>
    </w:p>
    <w:p w14:paraId="14EBC6A9" w14:textId="3430F71F" w:rsidR="009D4601" w:rsidRDefault="009D4601" w:rsidP="00420041">
      <w:pPr>
        <w:pStyle w:val="NormalWeb"/>
        <w:spacing w:before="0" w:beforeAutospacing="0" w:after="0" w:afterAutospacing="0" w:line="276" w:lineRule="auto"/>
        <w:jc w:val="both"/>
        <w:textAlignment w:val="baseline"/>
        <w:rPr>
          <w:rFonts w:ascii="Arial" w:hAnsi="Arial" w:cs="Arial"/>
          <w:color w:val="000000"/>
          <w:sz w:val="20"/>
          <w:szCs w:val="20"/>
        </w:rPr>
      </w:pPr>
    </w:p>
    <w:p w14:paraId="55851CCE" w14:textId="77777777" w:rsidR="009D4601" w:rsidRPr="009D4601" w:rsidRDefault="009D4601" w:rsidP="00420041">
      <w:pPr>
        <w:pStyle w:val="NormalWeb"/>
        <w:spacing w:before="0" w:beforeAutospacing="0" w:after="0" w:afterAutospacing="0" w:line="276" w:lineRule="auto"/>
        <w:jc w:val="both"/>
        <w:textAlignment w:val="baseline"/>
        <w:rPr>
          <w:rFonts w:ascii="Arial" w:hAnsi="Arial" w:cs="Arial"/>
          <w:color w:val="000000"/>
          <w:sz w:val="20"/>
          <w:szCs w:val="20"/>
        </w:rPr>
      </w:pPr>
    </w:p>
    <w:p w14:paraId="43361FD6" w14:textId="317FE9FA" w:rsidR="00697E22" w:rsidRPr="009D4601" w:rsidRDefault="00697E22" w:rsidP="00420041">
      <w:pPr>
        <w:pStyle w:val="ListParagraph"/>
        <w:numPr>
          <w:ilvl w:val="0"/>
          <w:numId w:val="20"/>
        </w:numPr>
        <w:spacing w:after="120" w:line="276" w:lineRule="auto"/>
        <w:rPr>
          <w:rStyle w:val="normaltextrun"/>
          <w:rFonts w:asciiTheme="majorHAnsi" w:hAnsiTheme="majorHAnsi" w:cstheme="majorHAnsi"/>
          <w:b/>
          <w:bCs/>
          <w:color w:val="808285"/>
          <w:sz w:val="23"/>
          <w:szCs w:val="23"/>
          <w:shd w:val="clear" w:color="auto" w:fill="FFFFFF"/>
        </w:rPr>
      </w:pPr>
      <w:r w:rsidRPr="009D4601">
        <w:rPr>
          <w:rStyle w:val="normaltextrun"/>
          <w:rFonts w:asciiTheme="majorHAnsi" w:hAnsiTheme="majorHAnsi" w:cstheme="majorHAnsi"/>
          <w:b/>
          <w:bCs/>
          <w:color w:val="808285"/>
          <w:sz w:val="23"/>
          <w:szCs w:val="23"/>
          <w:shd w:val="clear" w:color="auto" w:fill="FFFFFF"/>
        </w:rPr>
        <w:t xml:space="preserve">Freedom of expression, </w:t>
      </w:r>
      <w:proofErr w:type="gramStart"/>
      <w:r w:rsidRPr="009D4601">
        <w:rPr>
          <w:rStyle w:val="normaltextrun"/>
          <w:rFonts w:asciiTheme="majorHAnsi" w:hAnsiTheme="majorHAnsi" w:cstheme="majorHAnsi"/>
          <w:b/>
          <w:bCs/>
          <w:color w:val="808285"/>
          <w:sz w:val="23"/>
          <w:szCs w:val="23"/>
          <w:shd w:val="clear" w:color="auto" w:fill="FFFFFF"/>
        </w:rPr>
        <w:t>assembly</w:t>
      </w:r>
      <w:proofErr w:type="gramEnd"/>
      <w:r w:rsidRPr="009D4601">
        <w:rPr>
          <w:rStyle w:val="normaltextrun"/>
          <w:rFonts w:asciiTheme="majorHAnsi" w:hAnsiTheme="majorHAnsi" w:cstheme="majorHAnsi"/>
          <w:b/>
          <w:bCs/>
          <w:color w:val="808285"/>
          <w:sz w:val="23"/>
          <w:szCs w:val="23"/>
          <w:shd w:val="clear" w:color="auto" w:fill="FFFFFF"/>
        </w:rPr>
        <w:t xml:space="preserve"> and association </w:t>
      </w:r>
    </w:p>
    <w:p w14:paraId="0E701F99" w14:textId="77777777" w:rsidR="00697E22" w:rsidRDefault="00697E22" w:rsidP="00420041">
      <w:pPr>
        <w:spacing w:after="240" w:line="276" w:lineRule="auto"/>
      </w:pPr>
    </w:p>
    <w:tbl>
      <w:tblPr>
        <w:tblStyle w:val="APFTable"/>
        <w:tblW w:w="0" w:type="auto"/>
        <w:tblLook w:val="04A0" w:firstRow="1" w:lastRow="0" w:firstColumn="1" w:lastColumn="0" w:noHBand="0" w:noVBand="1"/>
      </w:tblPr>
      <w:tblGrid>
        <w:gridCol w:w="4916"/>
        <w:gridCol w:w="872"/>
        <w:gridCol w:w="1018"/>
        <w:gridCol w:w="528"/>
        <w:gridCol w:w="506"/>
        <w:gridCol w:w="583"/>
        <w:gridCol w:w="617"/>
      </w:tblGrid>
      <w:tr w:rsidR="00697E22" w14:paraId="7A14B10C" w14:textId="77777777" w:rsidTr="00697E22">
        <w:trPr>
          <w:cnfStyle w:val="100000000000" w:firstRow="1" w:lastRow="0" w:firstColumn="0" w:lastColumn="0" w:oddVBand="0" w:evenVBand="0" w:oddHBand="0" w:evenHBand="0" w:firstRowFirstColumn="0" w:firstRowLastColumn="0" w:lastRowFirstColumn="0" w:lastRowLastColumn="0"/>
          <w:trHeight w:val="546"/>
        </w:trPr>
        <w:tc>
          <w:tcPr>
            <w:cnfStyle w:val="001000000000" w:firstRow="0" w:lastRow="0" w:firstColumn="1" w:lastColumn="0" w:oddVBand="0" w:evenVBand="0" w:oddHBand="0" w:evenHBand="0" w:firstRowFirstColumn="0" w:firstRowLastColumn="0" w:lastRowFirstColumn="0" w:lastRowLastColumn="0"/>
            <w:tcW w:w="0" w:type="auto"/>
            <w:hideMark/>
          </w:tcPr>
          <w:p w14:paraId="7E78F5AA" w14:textId="77777777" w:rsidR="00697E22" w:rsidRDefault="00697E22" w:rsidP="00420041">
            <w:pPr>
              <w:spacing w:line="276" w:lineRule="auto"/>
            </w:pPr>
          </w:p>
        </w:tc>
        <w:tc>
          <w:tcPr>
            <w:tcW w:w="0" w:type="auto"/>
            <w:gridSpan w:val="2"/>
            <w:hideMark/>
          </w:tcPr>
          <w:p w14:paraId="017566BC" w14:textId="77777777" w:rsidR="00697E22" w:rsidRDefault="00697E22" w:rsidP="00420041">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pPr>
            <w:proofErr w:type="gramStart"/>
            <w:r>
              <w:rPr>
                <w:rFonts w:ascii="Arial" w:hAnsi="Arial" w:cs="Arial"/>
                <w:b w:val="0"/>
                <w:bCs/>
                <w:color w:val="000000"/>
                <w:sz w:val="22"/>
                <w:szCs w:val="22"/>
              </w:rPr>
              <w:t>UN  Member</w:t>
            </w:r>
            <w:proofErr w:type="gramEnd"/>
            <w:r>
              <w:rPr>
                <w:rFonts w:ascii="Arial" w:hAnsi="Arial" w:cs="Arial"/>
                <w:b w:val="0"/>
                <w:bCs/>
                <w:color w:val="000000"/>
                <w:sz w:val="22"/>
                <w:szCs w:val="22"/>
              </w:rPr>
              <w:t xml:space="preserve"> States</w:t>
            </w:r>
          </w:p>
        </w:tc>
        <w:tc>
          <w:tcPr>
            <w:tcW w:w="0" w:type="auto"/>
            <w:gridSpan w:val="2"/>
            <w:hideMark/>
          </w:tcPr>
          <w:p w14:paraId="0FF2E409" w14:textId="77777777" w:rsidR="00697E22" w:rsidRDefault="00697E22" w:rsidP="00420041">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pPr>
            <w:r>
              <w:rPr>
                <w:rFonts w:ascii="Arial" w:hAnsi="Arial" w:cs="Arial"/>
                <w:b w:val="0"/>
                <w:bCs/>
                <w:color w:val="000000"/>
                <w:sz w:val="22"/>
                <w:szCs w:val="22"/>
              </w:rPr>
              <w:t>Oceania</w:t>
            </w:r>
          </w:p>
        </w:tc>
        <w:tc>
          <w:tcPr>
            <w:tcW w:w="0" w:type="auto"/>
            <w:gridSpan w:val="2"/>
            <w:hideMark/>
          </w:tcPr>
          <w:p w14:paraId="7422E76A" w14:textId="77777777" w:rsidR="00697E22" w:rsidRDefault="00697E22" w:rsidP="00420041">
            <w:pPr>
              <w:pStyle w:val="NormalWeb"/>
              <w:spacing w:before="0" w:beforeAutospacing="0" w:after="0" w:afterAutospacing="0" w:line="276" w:lineRule="auto"/>
              <w:jc w:val="center"/>
              <w:cnfStyle w:val="100000000000" w:firstRow="1" w:lastRow="0" w:firstColumn="0" w:lastColumn="0" w:oddVBand="0" w:evenVBand="0" w:oddHBand="0" w:evenHBand="0" w:firstRowFirstColumn="0" w:firstRowLastColumn="0" w:lastRowFirstColumn="0" w:lastRowLastColumn="0"/>
            </w:pPr>
            <w:r>
              <w:rPr>
                <w:rFonts w:ascii="Arial" w:hAnsi="Arial" w:cs="Arial"/>
                <w:b w:val="0"/>
                <w:bCs/>
                <w:color w:val="000000"/>
                <w:sz w:val="22"/>
                <w:szCs w:val="22"/>
              </w:rPr>
              <w:t>Asia</w:t>
            </w:r>
          </w:p>
        </w:tc>
      </w:tr>
      <w:tr w:rsidR="00697E22" w14:paraId="15D69DE8" w14:textId="77777777" w:rsidTr="00697E22">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06D9125F" w14:textId="77777777" w:rsidR="00697E22" w:rsidRDefault="00697E22" w:rsidP="00420041">
            <w:pPr>
              <w:pStyle w:val="NormalWeb"/>
              <w:spacing w:before="0" w:beforeAutospacing="0" w:after="0" w:afterAutospacing="0" w:line="276" w:lineRule="auto"/>
            </w:pPr>
            <w:r>
              <w:t> </w:t>
            </w:r>
          </w:p>
        </w:tc>
        <w:tc>
          <w:tcPr>
            <w:tcW w:w="0" w:type="auto"/>
            <w:hideMark/>
          </w:tcPr>
          <w:p w14:paraId="50A28779"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No.</w:t>
            </w:r>
          </w:p>
        </w:tc>
        <w:tc>
          <w:tcPr>
            <w:tcW w:w="0" w:type="auto"/>
            <w:hideMark/>
          </w:tcPr>
          <w:p w14:paraId="0634194F"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w:t>
            </w:r>
          </w:p>
        </w:tc>
        <w:tc>
          <w:tcPr>
            <w:tcW w:w="0" w:type="auto"/>
            <w:hideMark/>
          </w:tcPr>
          <w:p w14:paraId="17BB91D7"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No.</w:t>
            </w:r>
          </w:p>
        </w:tc>
        <w:tc>
          <w:tcPr>
            <w:tcW w:w="0" w:type="auto"/>
            <w:hideMark/>
          </w:tcPr>
          <w:p w14:paraId="11D6AA0B"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w:t>
            </w:r>
          </w:p>
        </w:tc>
        <w:tc>
          <w:tcPr>
            <w:tcW w:w="0" w:type="auto"/>
            <w:hideMark/>
          </w:tcPr>
          <w:p w14:paraId="73461FAA"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No. </w:t>
            </w:r>
          </w:p>
        </w:tc>
        <w:tc>
          <w:tcPr>
            <w:tcW w:w="0" w:type="auto"/>
            <w:hideMark/>
          </w:tcPr>
          <w:p w14:paraId="6439BB62"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i/>
                <w:iCs/>
                <w:color w:val="000000"/>
                <w:sz w:val="20"/>
                <w:szCs w:val="20"/>
              </w:rPr>
              <w:t>%</w:t>
            </w:r>
          </w:p>
        </w:tc>
      </w:tr>
      <w:tr w:rsidR="00697E22" w14:paraId="4345AE68" w14:textId="77777777" w:rsidTr="00697E22">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hideMark/>
          </w:tcPr>
          <w:p w14:paraId="6574980F" w14:textId="77777777" w:rsidR="00697E22" w:rsidRPr="00534B2C" w:rsidRDefault="00697E22" w:rsidP="00420041">
            <w:pPr>
              <w:spacing w:after="120" w:line="276" w:lineRule="auto"/>
              <w:rPr>
                <w:rFonts w:asciiTheme="majorHAnsi" w:hAnsiTheme="majorHAnsi" w:cstheme="majorHAnsi"/>
                <w:sz w:val="20"/>
                <w:szCs w:val="20"/>
              </w:rPr>
            </w:pPr>
            <w:r w:rsidRPr="00534B2C">
              <w:rPr>
                <w:rFonts w:asciiTheme="majorHAnsi" w:hAnsiTheme="majorHAnsi" w:cstheme="majorHAnsi"/>
                <w:sz w:val="20"/>
                <w:szCs w:val="20"/>
              </w:rPr>
              <w:t>Legal barriers to freedom of expression on SOGI issues </w:t>
            </w:r>
          </w:p>
        </w:tc>
        <w:tc>
          <w:tcPr>
            <w:tcW w:w="0" w:type="auto"/>
            <w:hideMark/>
          </w:tcPr>
          <w:p w14:paraId="44FA5BEE"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42</w:t>
            </w:r>
          </w:p>
        </w:tc>
        <w:tc>
          <w:tcPr>
            <w:tcW w:w="0" w:type="auto"/>
            <w:hideMark/>
          </w:tcPr>
          <w:p w14:paraId="53A58331"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22%</w:t>
            </w:r>
          </w:p>
        </w:tc>
        <w:tc>
          <w:tcPr>
            <w:tcW w:w="0" w:type="auto"/>
            <w:hideMark/>
          </w:tcPr>
          <w:p w14:paraId="0FA6BE74"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0</w:t>
            </w:r>
          </w:p>
        </w:tc>
        <w:tc>
          <w:tcPr>
            <w:tcW w:w="0" w:type="auto"/>
            <w:hideMark/>
          </w:tcPr>
          <w:p w14:paraId="0AE51ED8"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0%</w:t>
            </w:r>
          </w:p>
        </w:tc>
        <w:tc>
          <w:tcPr>
            <w:tcW w:w="0" w:type="auto"/>
            <w:hideMark/>
          </w:tcPr>
          <w:p w14:paraId="12DCE883"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17</w:t>
            </w:r>
          </w:p>
        </w:tc>
        <w:tc>
          <w:tcPr>
            <w:tcW w:w="0" w:type="auto"/>
            <w:hideMark/>
          </w:tcPr>
          <w:p w14:paraId="3FD0AB3A" w14:textId="77777777" w:rsidR="00697E22" w:rsidRDefault="00697E22" w:rsidP="00420041">
            <w:pPr>
              <w:pStyle w:val="NormalWeb"/>
              <w:spacing w:before="0" w:beforeAutospacing="0" w:after="0" w:afterAutospacing="0" w:line="276" w:lineRule="auto"/>
              <w:cnfStyle w:val="000000010000" w:firstRow="0" w:lastRow="0" w:firstColumn="0" w:lastColumn="0" w:oddVBand="0" w:evenVBand="0" w:oddHBand="0" w:evenHBand="1" w:firstRowFirstColumn="0" w:firstRowLastColumn="0" w:lastRowFirstColumn="0" w:lastRowLastColumn="0"/>
            </w:pPr>
            <w:r>
              <w:rPr>
                <w:rFonts w:ascii="Arial" w:hAnsi="Arial" w:cs="Arial"/>
                <w:color w:val="000000"/>
                <w:sz w:val="20"/>
                <w:szCs w:val="20"/>
              </w:rPr>
              <w:t>40%</w:t>
            </w:r>
          </w:p>
        </w:tc>
      </w:tr>
      <w:tr w:rsidR="00697E22" w14:paraId="0300F3B4" w14:textId="77777777" w:rsidTr="00697E22">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0" w:type="auto"/>
            <w:hideMark/>
          </w:tcPr>
          <w:p w14:paraId="6340998E" w14:textId="77777777" w:rsidR="00697E22" w:rsidRPr="00534B2C" w:rsidRDefault="00697E22" w:rsidP="00420041">
            <w:pPr>
              <w:spacing w:after="120" w:line="276" w:lineRule="auto"/>
              <w:rPr>
                <w:rFonts w:asciiTheme="majorHAnsi" w:hAnsiTheme="majorHAnsi" w:cstheme="majorHAnsi"/>
                <w:sz w:val="20"/>
                <w:szCs w:val="20"/>
              </w:rPr>
            </w:pPr>
            <w:r w:rsidRPr="00534B2C">
              <w:rPr>
                <w:rFonts w:asciiTheme="majorHAnsi" w:hAnsiTheme="majorHAnsi" w:cstheme="majorHAnsi"/>
                <w:sz w:val="20"/>
                <w:szCs w:val="20"/>
              </w:rPr>
              <w:t>Legal barriers to registering or operating CSOs working on SOGI issues </w:t>
            </w:r>
          </w:p>
        </w:tc>
        <w:tc>
          <w:tcPr>
            <w:tcW w:w="0" w:type="auto"/>
            <w:hideMark/>
          </w:tcPr>
          <w:p w14:paraId="404FCB41"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51</w:t>
            </w:r>
          </w:p>
        </w:tc>
        <w:tc>
          <w:tcPr>
            <w:tcW w:w="0" w:type="auto"/>
            <w:hideMark/>
          </w:tcPr>
          <w:p w14:paraId="50356151"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26%</w:t>
            </w:r>
          </w:p>
        </w:tc>
        <w:tc>
          <w:tcPr>
            <w:tcW w:w="0" w:type="auto"/>
            <w:hideMark/>
          </w:tcPr>
          <w:p w14:paraId="2AE33F10"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1</w:t>
            </w:r>
          </w:p>
        </w:tc>
        <w:tc>
          <w:tcPr>
            <w:tcW w:w="0" w:type="auto"/>
            <w:hideMark/>
          </w:tcPr>
          <w:p w14:paraId="6AF70C19"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7%</w:t>
            </w:r>
          </w:p>
        </w:tc>
        <w:tc>
          <w:tcPr>
            <w:tcW w:w="0" w:type="auto"/>
            <w:hideMark/>
          </w:tcPr>
          <w:p w14:paraId="2297F945"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21</w:t>
            </w:r>
          </w:p>
        </w:tc>
        <w:tc>
          <w:tcPr>
            <w:tcW w:w="0" w:type="auto"/>
            <w:hideMark/>
          </w:tcPr>
          <w:p w14:paraId="3B428BFB" w14:textId="77777777" w:rsidR="00697E22" w:rsidRDefault="00697E22" w:rsidP="00420041">
            <w:pPr>
              <w:pStyle w:val="NormalWeb"/>
              <w:spacing w:before="0" w:beforeAutospacing="0" w:after="0" w:afterAutospacing="0" w:line="276" w:lineRule="auto"/>
              <w:cnfStyle w:val="000000100000" w:firstRow="0" w:lastRow="0" w:firstColumn="0" w:lastColumn="0" w:oddVBand="0" w:evenVBand="0" w:oddHBand="1" w:evenHBand="0" w:firstRowFirstColumn="0" w:firstRowLastColumn="0" w:lastRowFirstColumn="0" w:lastRowLastColumn="0"/>
            </w:pPr>
            <w:r>
              <w:rPr>
                <w:rFonts w:ascii="Arial" w:hAnsi="Arial" w:cs="Arial"/>
                <w:color w:val="000000"/>
                <w:sz w:val="20"/>
                <w:szCs w:val="20"/>
              </w:rPr>
              <w:t>50%</w:t>
            </w:r>
          </w:p>
        </w:tc>
      </w:tr>
    </w:tbl>
    <w:p w14:paraId="5691F9DC" w14:textId="77777777" w:rsidR="00697E22" w:rsidRDefault="00697E22" w:rsidP="00420041">
      <w:pPr>
        <w:spacing w:after="240" w:line="276" w:lineRule="auto"/>
      </w:pPr>
    </w:p>
    <w:p w14:paraId="392B52FA" w14:textId="77777777" w:rsidR="00697E22" w:rsidRPr="009D4601" w:rsidRDefault="00697E22" w:rsidP="00420041">
      <w:pPr>
        <w:pStyle w:val="NormalWeb"/>
        <w:spacing w:before="0" w:beforeAutospacing="0" w:after="0" w:afterAutospacing="0" w:line="276" w:lineRule="auto"/>
        <w:jc w:val="both"/>
        <w:rPr>
          <w:sz w:val="20"/>
          <w:szCs w:val="20"/>
        </w:rPr>
      </w:pPr>
      <w:r w:rsidRPr="009D4601">
        <w:rPr>
          <w:rFonts w:ascii="Arial" w:hAnsi="Arial" w:cs="Arial"/>
          <w:color w:val="000000"/>
          <w:sz w:val="20"/>
          <w:szCs w:val="20"/>
        </w:rPr>
        <w:t>The rights to freedom of expression, assembly and association concern a person’s ability: </w:t>
      </w:r>
    </w:p>
    <w:p w14:paraId="4E1B1A6F" w14:textId="77777777" w:rsidR="00697E22" w:rsidRPr="009D4601" w:rsidRDefault="00697E22" w:rsidP="00420041">
      <w:pPr>
        <w:pStyle w:val="NormalWeb"/>
        <w:numPr>
          <w:ilvl w:val="0"/>
          <w:numId w:val="31"/>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 xml:space="preserve">to speak freely about their lives, their </w:t>
      </w:r>
      <w:proofErr w:type="gramStart"/>
      <w:r w:rsidRPr="009D4601">
        <w:rPr>
          <w:rFonts w:ascii="Arial" w:hAnsi="Arial" w:cs="Arial"/>
          <w:color w:val="000000"/>
          <w:sz w:val="20"/>
          <w:szCs w:val="20"/>
        </w:rPr>
        <w:t>experiences</w:t>
      </w:r>
      <w:proofErr w:type="gramEnd"/>
      <w:r w:rsidRPr="009D4601">
        <w:rPr>
          <w:rFonts w:ascii="Arial" w:hAnsi="Arial" w:cs="Arial"/>
          <w:color w:val="000000"/>
          <w:sz w:val="20"/>
          <w:szCs w:val="20"/>
        </w:rPr>
        <w:t xml:space="preserve"> and their needs, in publications, the arts and literature and in public forums, </w:t>
      </w:r>
    </w:p>
    <w:p w14:paraId="00D1F775" w14:textId="77777777" w:rsidR="00697E22" w:rsidRPr="009D4601" w:rsidRDefault="00697E22" w:rsidP="00420041">
      <w:pPr>
        <w:pStyle w:val="NormalWeb"/>
        <w:numPr>
          <w:ilvl w:val="0"/>
          <w:numId w:val="31"/>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 xml:space="preserve">to form and participate in lesbian, </w:t>
      </w:r>
      <w:proofErr w:type="gramStart"/>
      <w:r w:rsidRPr="009D4601">
        <w:rPr>
          <w:rFonts w:ascii="Arial" w:hAnsi="Arial" w:cs="Arial"/>
          <w:color w:val="000000"/>
          <w:sz w:val="20"/>
          <w:szCs w:val="20"/>
        </w:rPr>
        <w:t>gay</w:t>
      </w:r>
      <w:proofErr w:type="gramEnd"/>
      <w:r w:rsidRPr="009D4601">
        <w:rPr>
          <w:rFonts w:ascii="Arial" w:hAnsi="Arial" w:cs="Arial"/>
          <w:color w:val="000000"/>
          <w:sz w:val="20"/>
          <w:szCs w:val="20"/>
        </w:rPr>
        <w:t xml:space="preserve"> and bisexual advocacy and social groups and</w:t>
      </w:r>
    </w:p>
    <w:p w14:paraId="120F02E5" w14:textId="77777777" w:rsidR="00697E22" w:rsidRPr="009D4601" w:rsidRDefault="00697E22" w:rsidP="00420041">
      <w:pPr>
        <w:pStyle w:val="NormalWeb"/>
        <w:numPr>
          <w:ilvl w:val="0"/>
          <w:numId w:val="31"/>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to associate with other people based on their shared sexual orientation.</w:t>
      </w:r>
    </w:p>
    <w:p w14:paraId="64EED84B" w14:textId="77777777" w:rsidR="00697E22" w:rsidRPr="009D4601" w:rsidRDefault="00697E22" w:rsidP="00420041">
      <w:pPr>
        <w:spacing w:line="276" w:lineRule="auto"/>
        <w:jc w:val="both"/>
        <w:rPr>
          <w:sz w:val="20"/>
          <w:szCs w:val="20"/>
        </w:rPr>
      </w:pPr>
    </w:p>
    <w:p w14:paraId="39EC9711" w14:textId="77777777" w:rsidR="00697E22" w:rsidRPr="009D4601" w:rsidRDefault="00697E22" w:rsidP="00420041">
      <w:pPr>
        <w:pStyle w:val="NormalWeb"/>
        <w:spacing w:before="0" w:beforeAutospacing="0" w:after="0" w:afterAutospacing="0" w:line="276" w:lineRule="auto"/>
        <w:jc w:val="both"/>
        <w:rPr>
          <w:sz w:val="20"/>
          <w:szCs w:val="20"/>
        </w:rPr>
      </w:pPr>
      <w:r w:rsidRPr="009D4601">
        <w:rPr>
          <w:rFonts w:ascii="Arial" w:hAnsi="Arial" w:cs="Arial"/>
          <w:color w:val="000000"/>
          <w:sz w:val="20"/>
          <w:szCs w:val="20"/>
        </w:rPr>
        <w:t>United Nations mechanisms have identified many areas in which these fundamental freedoms of lesbian, gay and bisexual people are curtailed in many States, including through: </w:t>
      </w:r>
    </w:p>
    <w:p w14:paraId="446C32DA"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direct censorship </w:t>
      </w:r>
    </w:p>
    <w:p w14:paraId="05E7C092"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bans on dissemination of information</w:t>
      </w:r>
    </w:p>
    <w:p w14:paraId="26D35FAE"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restrictions on advocacy </w:t>
      </w:r>
    </w:p>
    <w:p w14:paraId="160A6A5C"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denial or revocation of organisations’ registration </w:t>
      </w:r>
    </w:p>
    <w:p w14:paraId="289EFE3A"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lastRenderedPageBreak/>
        <w:t>denial of permission to hold meetings and events</w:t>
      </w:r>
    </w:p>
    <w:p w14:paraId="768BB063"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disruption of meetings and events</w:t>
      </w:r>
    </w:p>
    <w:p w14:paraId="67FAC471"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raiding offices </w:t>
      </w:r>
    </w:p>
    <w:p w14:paraId="1A4F1445"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vandalising offices and burglary and arson </w:t>
      </w:r>
    </w:p>
    <w:p w14:paraId="66C96026"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harassing and arresting staff and volunteers </w:t>
      </w:r>
    </w:p>
    <w:p w14:paraId="567A7DC6"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confiscating materials and equipment, such as computers </w:t>
      </w:r>
    </w:p>
    <w:p w14:paraId="34380B51"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denial of permission for gay pride marches and events </w:t>
      </w:r>
    </w:p>
    <w:p w14:paraId="6516FBF7"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violence and harassment at gay pride marches and events </w:t>
      </w:r>
    </w:p>
    <w:p w14:paraId="3DCD0EE5" w14:textId="77777777" w:rsidR="00697E22" w:rsidRPr="009D4601" w:rsidRDefault="00697E22" w:rsidP="00420041">
      <w:pPr>
        <w:pStyle w:val="NormalWeb"/>
        <w:numPr>
          <w:ilvl w:val="0"/>
          <w:numId w:val="32"/>
        </w:numPr>
        <w:spacing w:before="0" w:beforeAutospacing="0" w:after="0" w:afterAutospacing="0" w:line="276" w:lineRule="auto"/>
        <w:jc w:val="both"/>
        <w:textAlignment w:val="baseline"/>
        <w:rPr>
          <w:rFonts w:ascii="Arial" w:hAnsi="Arial" w:cs="Arial"/>
          <w:color w:val="000000"/>
          <w:sz w:val="20"/>
          <w:szCs w:val="20"/>
        </w:rPr>
      </w:pPr>
      <w:r w:rsidRPr="009D4601">
        <w:rPr>
          <w:rFonts w:ascii="Arial" w:hAnsi="Arial" w:cs="Arial"/>
          <w:color w:val="000000"/>
          <w:sz w:val="20"/>
          <w:szCs w:val="20"/>
        </w:rPr>
        <w:t xml:space="preserve">lack of proper and adequate police protection from violence, </w:t>
      </w:r>
      <w:proofErr w:type="gramStart"/>
      <w:r w:rsidRPr="009D4601">
        <w:rPr>
          <w:rFonts w:ascii="Arial" w:hAnsi="Arial" w:cs="Arial"/>
          <w:color w:val="000000"/>
          <w:sz w:val="20"/>
          <w:szCs w:val="20"/>
        </w:rPr>
        <w:t>harassment</w:t>
      </w:r>
      <w:proofErr w:type="gramEnd"/>
      <w:r w:rsidRPr="009D4601">
        <w:rPr>
          <w:rFonts w:ascii="Arial" w:hAnsi="Arial" w:cs="Arial"/>
          <w:color w:val="000000"/>
          <w:sz w:val="20"/>
          <w:szCs w:val="20"/>
        </w:rPr>
        <w:t xml:space="preserve"> and other forms of harm to lesbian, gay and bisexual people, especially activists, and to their groups and property.</w:t>
      </w:r>
    </w:p>
    <w:p w14:paraId="7EC12AB3" w14:textId="77777777" w:rsidR="00697E22" w:rsidRPr="009D4601" w:rsidRDefault="00697E22" w:rsidP="00420041">
      <w:pPr>
        <w:spacing w:line="276" w:lineRule="auto"/>
        <w:jc w:val="both"/>
        <w:rPr>
          <w:sz w:val="20"/>
          <w:szCs w:val="20"/>
        </w:rPr>
      </w:pPr>
    </w:p>
    <w:p w14:paraId="5390081E" w14:textId="77777777" w:rsidR="00697E22" w:rsidRPr="009D4601" w:rsidRDefault="00697E22" w:rsidP="00420041">
      <w:pPr>
        <w:pStyle w:val="Heading1"/>
        <w:spacing w:before="145" w:line="276" w:lineRule="auto"/>
        <w:ind w:right="849"/>
        <w:jc w:val="both"/>
        <w:rPr>
          <w:rStyle w:val="normaltextrun"/>
          <w:rFonts w:asciiTheme="majorHAnsi" w:hAnsiTheme="majorHAnsi" w:cstheme="majorHAnsi"/>
          <w:color w:val="808285"/>
          <w:sz w:val="23"/>
          <w:szCs w:val="23"/>
          <w:shd w:val="clear" w:color="auto" w:fill="FFFFFF"/>
        </w:rPr>
      </w:pPr>
      <w:r w:rsidRPr="009D4601">
        <w:rPr>
          <w:rStyle w:val="normaltextrun"/>
          <w:rFonts w:asciiTheme="majorHAnsi" w:hAnsiTheme="majorHAnsi" w:cstheme="majorHAnsi"/>
          <w:color w:val="808285"/>
          <w:sz w:val="23"/>
          <w:szCs w:val="23"/>
          <w:shd w:val="clear" w:color="auto" w:fill="FFFFFF"/>
        </w:rPr>
        <w:t>Some work by NHRIs on lesbian, gay and bisexual issues</w:t>
      </w:r>
    </w:p>
    <w:p w14:paraId="579440BD" w14:textId="77777777" w:rsidR="00697E22" w:rsidRPr="00F977A1" w:rsidRDefault="00697E22" w:rsidP="00420041">
      <w:pPr>
        <w:pStyle w:val="NormalWeb"/>
        <w:spacing w:before="240" w:beforeAutospacing="0" w:after="240" w:afterAutospacing="0" w:line="276" w:lineRule="auto"/>
        <w:jc w:val="both"/>
        <w:rPr>
          <w:sz w:val="20"/>
          <w:szCs w:val="20"/>
        </w:rPr>
      </w:pPr>
      <w:r w:rsidRPr="00F977A1">
        <w:rPr>
          <w:rFonts w:ascii="Arial" w:hAnsi="Arial" w:cs="Arial"/>
          <w:color w:val="000000"/>
          <w:sz w:val="20"/>
          <w:szCs w:val="20"/>
        </w:rPr>
        <w:t>Many of the following examples of the work done by NHRIs in Asia Pacific on human rights violations against lesbian, gay and bisexual people have been developed as broader consultations with LGBTQI communities. For example, work to address conversion practices in this region initially started with a focus on harmful practices that attempt to change or suppress a person’s sexual orientation. Within some of these NHRI consultations, including in Samoa and Fiji, there has been a recognised need to ensure participation of under-represented groups, particularly lesbians and bisexual women.  </w:t>
      </w:r>
    </w:p>
    <w:p w14:paraId="6D846454" w14:textId="3CC0194C" w:rsidR="00697E22" w:rsidRPr="00F977A1" w:rsidRDefault="00697E22" w:rsidP="00420041">
      <w:pPr>
        <w:pStyle w:val="NormalWeb"/>
        <w:numPr>
          <w:ilvl w:val="0"/>
          <w:numId w:val="33"/>
        </w:numPr>
        <w:spacing w:before="240" w:beforeAutospacing="0" w:after="120" w:afterAutospacing="0" w:line="276" w:lineRule="auto"/>
        <w:ind w:left="714" w:right="-60"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The </w:t>
      </w:r>
      <w:r w:rsidRPr="00F977A1">
        <w:rPr>
          <w:rFonts w:ascii="Arial" w:hAnsi="Arial" w:cs="Arial"/>
          <w:b/>
          <w:bCs/>
          <w:color w:val="000000"/>
          <w:sz w:val="20"/>
          <w:szCs w:val="20"/>
        </w:rPr>
        <w:t xml:space="preserve">Australian </w:t>
      </w:r>
      <w:r w:rsidRPr="00F977A1">
        <w:rPr>
          <w:rFonts w:ascii="Arial" w:hAnsi="Arial" w:cs="Arial"/>
          <w:color w:val="000000"/>
          <w:sz w:val="20"/>
          <w:szCs w:val="20"/>
        </w:rPr>
        <w:t xml:space="preserve">Human Rights Commission commenced its extensive </w:t>
      </w:r>
      <w:proofErr w:type="gramStart"/>
      <w:r w:rsidRPr="00F977A1">
        <w:rPr>
          <w:rFonts w:ascii="Arial" w:hAnsi="Arial" w:cs="Arial"/>
          <w:color w:val="000000"/>
          <w:sz w:val="20"/>
          <w:szCs w:val="20"/>
        </w:rPr>
        <w:t>Same-sex</w:t>
      </w:r>
      <w:proofErr w:type="gramEnd"/>
      <w:r w:rsidRPr="00F977A1">
        <w:rPr>
          <w:rFonts w:ascii="Arial" w:hAnsi="Arial" w:cs="Arial"/>
          <w:color w:val="000000"/>
          <w:sz w:val="20"/>
          <w:szCs w:val="20"/>
        </w:rPr>
        <w:t xml:space="preserve">: same entitlements Inquiry in 2006 and reported in 2007. In 2008, the Australian parliament enacted laws to implement </w:t>
      </w:r>
      <w:r w:rsidR="00420041" w:rsidRPr="00F977A1">
        <w:rPr>
          <w:rFonts w:ascii="Arial" w:hAnsi="Arial" w:cs="Arial"/>
          <w:color w:val="000000"/>
          <w:sz w:val="20"/>
          <w:szCs w:val="20"/>
        </w:rPr>
        <w:t>the Commission’s</w:t>
      </w:r>
      <w:r w:rsidRPr="00F977A1">
        <w:rPr>
          <w:rFonts w:ascii="Arial" w:hAnsi="Arial" w:cs="Arial"/>
          <w:color w:val="000000"/>
          <w:sz w:val="20"/>
          <w:szCs w:val="20"/>
        </w:rPr>
        <w:t xml:space="preserve"> recommendations, amending 84 discriminatory laws. </w:t>
      </w:r>
    </w:p>
    <w:p w14:paraId="0B09EA46" w14:textId="1831BA65" w:rsidR="00697E22" w:rsidRPr="00F977A1" w:rsidRDefault="00697E22" w:rsidP="00420041">
      <w:pPr>
        <w:pStyle w:val="NormalWeb"/>
        <w:numPr>
          <w:ilvl w:val="0"/>
          <w:numId w:val="33"/>
        </w:numPr>
        <w:spacing w:before="0" w:beforeAutospacing="0" w:after="120" w:afterAutospacing="0" w:line="276" w:lineRule="auto"/>
        <w:ind w:left="714" w:right="-60"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In 2011, the National Human Rights Commission of </w:t>
      </w:r>
      <w:r w:rsidRPr="00F977A1">
        <w:rPr>
          <w:rFonts w:ascii="Arial" w:hAnsi="Arial" w:cs="Arial"/>
          <w:b/>
          <w:bCs/>
          <w:color w:val="000000"/>
          <w:sz w:val="20"/>
          <w:szCs w:val="20"/>
        </w:rPr>
        <w:t>Korea</w:t>
      </w:r>
      <w:r w:rsidRPr="00F977A1">
        <w:rPr>
          <w:rFonts w:ascii="Arial" w:hAnsi="Arial" w:cs="Arial"/>
          <w:color w:val="000000"/>
          <w:sz w:val="20"/>
          <w:szCs w:val="20"/>
        </w:rPr>
        <w:t xml:space="preserve"> delivered an opinion to the </w:t>
      </w:r>
      <w:r w:rsidR="008B3FAD" w:rsidRPr="00F977A1">
        <w:rPr>
          <w:rFonts w:ascii="Arial" w:hAnsi="Arial" w:cs="Arial"/>
          <w:color w:val="000000"/>
          <w:sz w:val="20"/>
          <w:szCs w:val="20"/>
        </w:rPr>
        <w:t>Constitutional Court</w:t>
      </w:r>
      <w:r w:rsidRPr="00F977A1">
        <w:rPr>
          <w:rFonts w:ascii="Arial" w:hAnsi="Arial" w:cs="Arial"/>
          <w:color w:val="000000"/>
          <w:sz w:val="20"/>
          <w:szCs w:val="20"/>
        </w:rPr>
        <w:t xml:space="preserve"> challenging, as unconstitutional, a provision in the Military Criminal Law that criminalised same sex conduct. The Commission has also recommended the enactment of a comprehensive </w:t>
      </w:r>
      <w:r w:rsidR="008B3FAD" w:rsidRPr="00F977A1">
        <w:rPr>
          <w:rFonts w:ascii="Arial" w:hAnsi="Arial" w:cs="Arial"/>
          <w:color w:val="000000"/>
          <w:sz w:val="20"/>
          <w:szCs w:val="20"/>
        </w:rPr>
        <w:t>anti-discrimination</w:t>
      </w:r>
      <w:r w:rsidRPr="00F977A1">
        <w:rPr>
          <w:rFonts w:ascii="Arial" w:hAnsi="Arial" w:cs="Arial"/>
          <w:color w:val="000000"/>
          <w:sz w:val="20"/>
          <w:szCs w:val="20"/>
        </w:rPr>
        <w:t xml:space="preserve"> law that includes sexual orientation and gender identity as prohibited grounds of discrimination. </w:t>
      </w:r>
    </w:p>
    <w:p w14:paraId="166D275F" w14:textId="1111CE24" w:rsidR="00697E22" w:rsidRPr="00F977A1" w:rsidRDefault="00697E22" w:rsidP="00420041">
      <w:pPr>
        <w:pStyle w:val="NormalWeb"/>
        <w:numPr>
          <w:ilvl w:val="0"/>
          <w:numId w:val="33"/>
        </w:numPr>
        <w:spacing w:before="0" w:beforeAutospacing="0" w:after="120" w:afterAutospacing="0" w:line="276" w:lineRule="auto"/>
        <w:ind w:left="714" w:right="120"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In 2013, the UN Special Rapporteur on </w:t>
      </w:r>
      <w:r w:rsidRPr="00F977A1">
        <w:rPr>
          <w:rFonts w:ascii="Arial" w:hAnsi="Arial" w:cs="Arial"/>
          <w:b/>
          <w:bCs/>
          <w:color w:val="000000"/>
          <w:sz w:val="20"/>
          <w:szCs w:val="20"/>
        </w:rPr>
        <w:t xml:space="preserve">Myanmar </w:t>
      </w:r>
      <w:r w:rsidRPr="00F977A1">
        <w:rPr>
          <w:rFonts w:ascii="Arial" w:hAnsi="Arial" w:cs="Arial"/>
          <w:color w:val="000000"/>
          <w:sz w:val="20"/>
          <w:szCs w:val="20"/>
        </w:rPr>
        <w:t xml:space="preserve">recommended action by both the government and </w:t>
      </w:r>
      <w:r w:rsidR="008B3FAD" w:rsidRPr="00F977A1">
        <w:rPr>
          <w:rFonts w:ascii="Arial" w:hAnsi="Arial" w:cs="Arial"/>
          <w:color w:val="000000"/>
          <w:sz w:val="20"/>
          <w:szCs w:val="20"/>
        </w:rPr>
        <w:t>the NHRI</w:t>
      </w:r>
      <w:r w:rsidRPr="00F977A1">
        <w:rPr>
          <w:rFonts w:ascii="Arial" w:hAnsi="Arial" w:cs="Arial"/>
          <w:color w:val="000000"/>
          <w:sz w:val="20"/>
          <w:szCs w:val="20"/>
        </w:rPr>
        <w:t xml:space="preserve"> after 12 gay men and transgender women in Mandalay were verbally, </w:t>
      </w:r>
      <w:proofErr w:type="gramStart"/>
      <w:r w:rsidRPr="00F977A1">
        <w:rPr>
          <w:rFonts w:ascii="Arial" w:hAnsi="Arial" w:cs="Arial"/>
          <w:color w:val="000000"/>
          <w:sz w:val="20"/>
          <w:szCs w:val="20"/>
        </w:rPr>
        <w:t>sexually</w:t>
      </w:r>
      <w:proofErr w:type="gramEnd"/>
      <w:r w:rsidRPr="00F977A1">
        <w:rPr>
          <w:rFonts w:ascii="Arial" w:hAnsi="Arial" w:cs="Arial"/>
          <w:color w:val="000000"/>
          <w:sz w:val="20"/>
          <w:szCs w:val="20"/>
        </w:rPr>
        <w:t xml:space="preserve"> and </w:t>
      </w:r>
      <w:r w:rsidR="008B3FAD" w:rsidRPr="00F977A1">
        <w:rPr>
          <w:rFonts w:ascii="Arial" w:hAnsi="Arial" w:cs="Arial"/>
          <w:color w:val="000000"/>
          <w:sz w:val="20"/>
          <w:szCs w:val="20"/>
        </w:rPr>
        <w:t>physically assaulted</w:t>
      </w:r>
      <w:r w:rsidRPr="00F977A1">
        <w:rPr>
          <w:rFonts w:ascii="Arial" w:hAnsi="Arial" w:cs="Arial"/>
          <w:color w:val="000000"/>
          <w:sz w:val="20"/>
          <w:szCs w:val="20"/>
        </w:rPr>
        <w:t xml:space="preserve"> by police officers who arrested them on allegations of creating a public nuisance. </w:t>
      </w:r>
      <w:r w:rsidR="008B3FAD" w:rsidRPr="00F977A1">
        <w:rPr>
          <w:rFonts w:ascii="Arial" w:hAnsi="Arial" w:cs="Arial"/>
          <w:color w:val="000000"/>
          <w:sz w:val="20"/>
          <w:szCs w:val="20"/>
        </w:rPr>
        <w:t>The Myanmar</w:t>
      </w:r>
      <w:r w:rsidRPr="00F977A1">
        <w:rPr>
          <w:rFonts w:ascii="Arial" w:hAnsi="Arial" w:cs="Arial"/>
          <w:color w:val="000000"/>
          <w:sz w:val="20"/>
          <w:szCs w:val="20"/>
        </w:rPr>
        <w:t xml:space="preserve"> National Human Rights Commission referred the case directly to the chief of police, though the police did not release any information about investigation of these complaints.  </w:t>
      </w:r>
    </w:p>
    <w:p w14:paraId="748C13DE" w14:textId="77777777" w:rsidR="00697E22" w:rsidRPr="00F977A1" w:rsidRDefault="00697E22" w:rsidP="00420041">
      <w:pPr>
        <w:pStyle w:val="NormalWeb"/>
        <w:numPr>
          <w:ilvl w:val="0"/>
          <w:numId w:val="33"/>
        </w:numPr>
        <w:spacing w:before="0" w:beforeAutospacing="0" w:after="120" w:afterAutospacing="0" w:line="276" w:lineRule="auto"/>
        <w:ind w:left="714" w:hanging="357"/>
        <w:jc w:val="both"/>
        <w:textAlignment w:val="baseline"/>
        <w:rPr>
          <w:rFonts w:ascii="Arial" w:hAnsi="Arial" w:cs="Arial"/>
          <w:color w:val="000000"/>
          <w:sz w:val="20"/>
          <w:szCs w:val="20"/>
        </w:rPr>
      </w:pPr>
      <w:proofErr w:type="spellStart"/>
      <w:r w:rsidRPr="00F977A1">
        <w:rPr>
          <w:rFonts w:ascii="Arial" w:hAnsi="Arial" w:cs="Arial"/>
          <w:color w:val="000000"/>
          <w:sz w:val="20"/>
          <w:szCs w:val="20"/>
        </w:rPr>
        <w:t>Komnas</w:t>
      </w:r>
      <w:proofErr w:type="spellEnd"/>
      <w:r w:rsidRPr="00F977A1">
        <w:rPr>
          <w:rFonts w:ascii="Arial" w:hAnsi="Arial" w:cs="Arial"/>
          <w:color w:val="000000"/>
          <w:sz w:val="20"/>
          <w:szCs w:val="20"/>
        </w:rPr>
        <w:t xml:space="preserve"> HAM in </w:t>
      </w:r>
      <w:r w:rsidRPr="00F977A1">
        <w:rPr>
          <w:rFonts w:ascii="Arial" w:hAnsi="Arial" w:cs="Arial"/>
          <w:b/>
          <w:bCs/>
          <w:color w:val="000000"/>
          <w:sz w:val="20"/>
          <w:szCs w:val="20"/>
        </w:rPr>
        <w:t>Indonesia</w:t>
      </w:r>
      <w:r w:rsidRPr="00F977A1">
        <w:rPr>
          <w:rFonts w:ascii="Arial" w:hAnsi="Arial" w:cs="Arial"/>
          <w:color w:val="000000"/>
          <w:sz w:val="20"/>
          <w:szCs w:val="20"/>
        </w:rPr>
        <w:t xml:space="preserve"> has previously called for a widespread public information campaign about society’s responsibility to promote and protect LGBT people’s human rights, and the need for programmes to address past abuse. </w:t>
      </w:r>
    </w:p>
    <w:p w14:paraId="3CE319DE" w14:textId="77777777" w:rsidR="00697E22" w:rsidRPr="00F977A1" w:rsidRDefault="00697E22" w:rsidP="00420041">
      <w:pPr>
        <w:pStyle w:val="NormalWeb"/>
        <w:numPr>
          <w:ilvl w:val="0"/>
          <w:numId w:val="33"/>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For the 2017 International Day Against Homophobia and Transphobia, the Commission on Human Rights of the </w:t>
      </w:r>
      <w:r w:rsidRPr="00F977A1">
        <w:rPr>
          <w:rFonts w:ascii="Arial" w:hAnsi="Arial" w:cs="Arial"/>
          <w:b/>
          <w:bCs/>
          <w:color w:val="000000"/>
          <w:sz w:val="20"/>
          <w:szCs w:val="20"/>
        </w:rPr>
        <w:t>Philippines</w:t>
      </w:r>
      <w:r w:rsidRPr="00F977A1">
        <w:rPr>
          <w:rFonts w:ascii="Arial" w:hAnsi="Arial" w:cs="Arial"/>
          <w:color w:val="000000"/>
          <w:sz w:val="20"/>
          <w:szCs w:val="20"/>
        </w:rPr>
        <w:t xml:space="preserve"> reached out to lesbians (</w:t>
      </w:r>
      <w:proofErr w:type="gramStart"/>
      <w:r w:rsidRPr="00F977A1">
        <w:rPr>
          <w:rFonts w:ascii="Arial" w:hAnsi="Arial" w:cs="Arial"/>
          <w:color w:val="000000"/>
          <w:sz w:val="20"/>
          <w:szCs w:val="20"/>
        </w:rPr>
        <w:t>and also</w:t>
      </w:r>
      <w:proofErr w:type="gramEnd"/>
      <w:r w:rsidRPr="00F977A1">
        <w:rPr>
          <w:rFonts w:ascii="Arial" w:hAnsi="Arial" w:cs="Arial"/>
          <w:color w:val="000000"/>
          <w:sz w:val="20"/>
          <w:szCs w:val="20"/>
        </w:rPr>
        <w:t xml:space="preserve"> trans men) in detention.</w:t>
      </w:r>
    </w:p>
    <w:p w14:paraId="6F643AFA" w14:textId="77777777" w:rsidR="00697E22" w:rsidRPr="00F977A1" w:rsidRDefault="00697E22" w:rsidP="00420041">
      <w:pPr>
        <w:pStyle w:val="NormalWeb"/>
        <w:numPr>
          <w:ilvl w:val="0"/>
          <w:numId w:val="33"/>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In the Pacific, both the Office of the Ombudsman of </w:t>
      </w:r>
      <w:r w:rsidRPr="00F977A1">
        <w:rPr>
          <w:rFonts w:ascii="Arial" w:hAnsi="Arial" w:cs="Arial"/>
          <w:b/>
          <w:bCs/>
          <w:color w:val="000000"/>
          <w:sz w:val="20"/>
          <w:szCs w:val="20"/>
        </w:rPr>
        <w:t xml:space="preserve">Samoa </w:t>
      </w:r>
      <w:r w:rsidRPr="00F977A1">
        <w:rPr>
          <w:rFonts w:ascii="Arial" w:hAnsi="Arial" w:cs="Arial"/>
          <w:color w:val="000000"/>
          <w:sz w:val="20"/>
          <w:szCs w:val="20"/>
        </w:rPr>
        <w:t xml:space="preserve">and the </w:t>
      </w:r>
      <w:r w:rsidRPr="00F977A1">
        <w:rPr>
          <w:rFonts w:ascii="Arial" w:hAnsi="Arial" w:cs="Arial"/>
          <w:b/>
          <w:bCs/>
          <w:color w:val="000000"/>
          <w:sz w:val="20"/>
          <w:szCs w:val="20"/>
        </w:rPr>
        <w:t>Fiji</w:t>
      </w:r>
      <w:r w:rsidRPr="00F977A1">
        <w:rPr>
          <w:rFonts w:ascii="Arial" w:hAnsi="Arial" w:cs="Arial"/>
          <w:color w:val="000000"/>
          <w:sz w:val="20"/>
          <w:szCs w:val="20"/>
        </w:rPr>
        <w:t xml:space="preserve"> Human Rights and Anti-Discrimination Commission held consultations with LGBTI communities in 2018, with a focus on identifying the distinct and overlapping SOGIESC issues, and with the intention of developing national plans of action.</w:t>
      </w:r>
    </w:p>
    <w:p w14:paraId="73378726" w14:textId="77777777" w:rsidR="00697E22" w:rsidRPr="00F977A1" w:rsidRDefault="00697E22" w:rsidP="00420041">
      <w:pPr>
        <w:pStyle w:val="NormalWeb"/>
        <w:numPr>
          <w:ilvl w:val="0"/>
          <w:numId w:val="33"/>
        </w:numPr>
        <w:spacing w:before="0" w:beforeAutospacing="0" w:after="120" w:afterAutospacing="0" w:line="276" w:lineRule="auto"/>
        <w:ind w:left="714" w:right="-60"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The Human Rights Commission of </w:t>
      </w:r>
      <w:r w:rsidRPr="00F977A1">
        <w:rPr>
          <w:rFonts w:ascii="Arial" w:hAnsi="Arial" w:cs="Arial"/>
          <w:b/>
          <w:bCs/>
          <w:color w:val="000000"/>
          <w:sz w:val="20"/>
          <w:szCs w:val="20"/>
        </w:rPr>
        <w:t>Sri Lanka</w:t>
      </w:r>
      <w:r w:rsidRPr="00F977A1">
        <w:rPr>
          <w:rFonts w:ascii="Arial" w:hAnsi="Arial" w:cs="Arial"/>
          <w:color w:val="000000"/>
          <w:sz w:val="20"/>
          <w:szCs w:val="20"/>
        </w:rPr>
        <w:t xml:space="preserve"> has created a Sub-Committee on LGBT rights. The Sub-Committee wrote to both the Sri Lanka Medical Council and the Ministry of Health, listing medical centres that were offering ‘to cure homosexuality’ and calling for action against such practices. The NHRI also invited the Sri Lanka College of Psychiatrists to a meeting with </w:t>
      </w:r>
      <w:r w:rsidRPr="00F977A1">
        <w:rPr>
          <w:rFonts w:ascii="Arial" w:hAnsi="Arial" w:cs="Arial"/>
          <w:color w:val="000000"/>
          <w:sz w:val="20"/>
          <w:szCs w:val="20"/>
        </w:rPr>
        <w:lastRenderedPageBreak/>
        <w:t>LGBT community members to discuss the adverse effects of conversion practices. None of these requests were taken up by the relevant agencies. </w:t>
      </w:r>
    </w:p>
    <w:p w14:paraId="5E88D824" w14:textId="36BCD2E3" w:rsidR="00697E22" w:rsidRPr="00F977A1" w:rsidRDefault="00697E22" w:rsidP="00420041">
      <w:pPr>
        <w:pStyle w:val="NormalWeb"/>
        <w:numPr>
          <w:ilvl w:val="0"/>
          <w:numId w:val="33"/>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The National Human Rights Commission of </w:t>
      </w:r>
      <w:r w:rsidRPr="00F977A1">
        <w:rPr>
          <w:rFonts w:ascii="Arial" w:hAnsi="Arial" w:cs="Arial"/>
          <w:b/>
          <w:bCs/>
          <w:color w:val="000000"/>
          <w:sz w:val="20"/>
          <w:szCs w:val="20"/>
        </w:rPr>
        <w:t>India</w:t>
      </w:r>
      <w:r w:rsidRPr="00F977A1">
        <w:rPr>
          <w:rFonts w:ascii="Arial" w:hAnsi="Arial" w:cs="Arial"/>
          <w:color w:val="000000"/>
          <w:sz w:val="20"/>
          <w:szCs w:val="20"/>
        </w:rPr>
        <w:t xml:space="preserve"> has established a Core Group on LGBTI issues, which brings together community representatives, government officials, legal and policy experts, and NHRC participants.</w:t>
      </w:r>
      <w:hyperlink r:id="rId12" w:anchor="_ftn2" w:history="1">
        <w:r w:rsidRPr="00F977A1">
          <w:rPr>
            <w:rStyle w:val="Hyperlink"/>
            <w:rFonts w:ascii="Arial" w:hAnsi="Arial" w:cs="Arial"/>
            <w:color w:val="000000"/>
            <w:sz w:val="20"/>
            <w:szCs w:val="20"/>
          </w:rPr>
          <w:t xml:space="preserve"> </w:t>
        </w:r>
      </w:hyperlink>
      <w:r w:rsidRPr="00F977A1">
        <w:rPr>
          <w:rFonts w:ascii="Arial" w:hAnsi="Arial" w:cs="Arial"/>
          <w:color w:val="000000"/>
          <w:sz w:val="20"/>
          <w:szCs w:val="20"/>
        </w:rPr>
        <w:t>After its meeting in November 2020, the Core Group recommended that “strict and mandatory laws against forced conversion therapy should be formulated”.</w:t>
      </w:r>
    </w:p>
    <w:p w14:paraId="15F5FF4A" w14:textId="77777777" w:rsidR="006158E2" w:rsidRPr="00A463FC" w:rsidRDefault="006158E2" w:rsidP="00420041">
      <w:pPr>
        <w:pStyle w:val="Heading1"/>
        <w:spacing w:line="276" w:lineRule="auto"/>
        <w:jc w:val="both"/>
        <w:rPr>
          <w:rFonts w:asciiTheme="majorHAnsi" w:hAnsiTheme="majorHAnsi" w:cstheme="majorHAnsi"/>
        </w:rPr>
      </w:pPr>
      <w:r w:rsidRPr="00A463FC">
        <w:rPr>
          <w:rFonts w:asciiTheme="majorHAnsi" w:hAnsiTheme="majorHAnsi" w:cstheme="majorHAnsi"/>
        </w:rPr>
        <w:t>Key points</w:t>
      </w:r>
    </w:p>
    <w:p w14:paraId="194F6FC2" w14:textId="58F6BC22" w:rsidR="006158E2" w:rsidRPr="00A33906" w:rsidRDefault="006158E2" w:rsidP="00420041">
      <w:pPr>
        <w:spacing w:line="276" w:lineRule="auto"/>
        <w:jc w:val="both"/>
        <w:rPr>
          <w:rFonts w:asciiTheme="minorHAnsi" w:hAnsiTheme="minorHAnsi" w:cstheme="minorHAnsi"/>
          <w:sz w:val="20"/>
          <w:szCs w:val="20"/>
        </w:rPr>
      </w:pPr>
    </w:p>
    <w:p w14:paraId="077FFDFB" w14:textId="77777777" w:rsidR="00697E22" w:rsidRPr="00F977A1" w:rsidRDefault="00697E22" w:rsidP="00420041">
      <w:pPr>
        <w:pStyle w:val="NormalWeb"/>
        <w:numPr>
          <w:ilvl w:val="0"/>
          <w:numId w:val="28"/>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There may be more than 220 million lesbian, </w:t>
      </w:r>
      <w:proofErr w:type="gramStart"/>
      <w:r w:rsidRPr="00F977A1">
        <w:rPr>
          <w:rFonts w:ascii="Arial" w:hAnsi="Arial" w:cs="Arial"/>
          <w:color w:val="000000"/>
          <w:sz w:val="20"/>
          <w:szCs w:val="20"/>
        </w:rPr>
        <w:t>gay</w:t>
      </w:r>
      <w:proofErr w:type="gramEnd"/>
      <w:r w:rsidRPr="00F977A1">
        <w:rPr>
          <w:rFonts w:ascii="Arial" w:hAnsi="Arial" w:cs="Arial"/>
          <w:color w:val="000000"/>
          <w:sz w:val="20"/>
          <w:szCs w:val="20"/>
        </w:rPr>
        <w:t xml:space="preserve"> and bisexual people in the Asia Pacific region. </w:t>
      </w:r>
    </w:p>
    <w:p w14:paraId="543F304B" w14:textId="77777777" w:rsidR="00697E22" w:rsidRPr="00F977A1" w:rsidRDefault="00697E22" w:rsidP="00420041">
      <w:pPr>
        <w:pStyle w:val="NormalWeb"/>
        <w:numPr>
          <w:ilvl w:val="0"/>
          <w:numId w:val="28"/>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Lesbian, </w:t>
      </w:r>
      <w:proofErr w:type="gramStart"/>
      <w:r w:rsidRPr="00F977A1">
        <w:rPr>
          <w:rFonts w:ascii="Arial" w:hAnsi="Arial" w:cs="Arial"/>
          <w:color w:val="000000"/>
          <w:sz w:val="20"/>
          <w:szCs w:val="20"/>
        </w:rPr>
        <w:t>gay</w:t>
      </w:r>
      <w:proofErr w:type="gramEnd"/>
      <w:r w:rsidRPr="00F977A1">
        <w:rPr>
          <w:rFonts w:ascii="Arial" w:hAnsi="Arial" w:cs="Arial"/>
          <w:color w:val="000000"/>
          <w:sz w:val="20"/>
          <w:szCs w:val="20"/>
        </w:rPr>
        <w:t xml:space="preserve"> and bisexual people in the region have many common experiences. In addition, lesbians and bisexual women have distinct experiences, arising from their situation as women that must be </w:t>
      </w:r>
      <w:proofErr w:type="gramStart"/>
      <w:r w:rsidRPr="00F977A1">
        <w:rPr>
          <w:rFonts w:ascii="Arial" w:hAnsi="Arial" w:cs="Arial"/>
          <w:color w:val="000000"/>
          <w:sz w:val="20"/>
          <w:szCs w:val="20"/>
        </w:rPr>
        <w:t>taken into account</w:t>
      </w:r>
      <w:proofErr w:type="gramEnd"/>
      <w:r w:rsidRPr="00F977A1">
        <w:rPr>
          <w:rFonts w:ascii="Arial" w:hAnsi="Arial" w:cs="Arial"/>
          <w:color w:val="000000"/>
          <w:sz w:val="20"/>
          <w:szCs w:val="20"/>
        </w:rPr>
        <w:t xml:space="preserve"> in ensuring respect for their human rights. </w:t>
      </w:r>
    </w:p>
    <w:p w14:paraId="172C8A3C" w14:textId="77777777" w:rsidR="00697E22" w:rsidRPr="00F977A1" w:rsidRDefault="00697E22" w:rsidP="00420041">
      <w:pPr>
        <w:pStyle w:val="NormalWeb"/>
        <w:numPr>
          <w:ilvl w:val="0"/>
          <w:numId w:val="28"/>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Criminal laws targeting lesbian, gay and bisexual people have both direct and indirect effects on their enjoyment of their human rights. Whether enforced or not, they undermine the dignity of lesbian, gay and bisexual people. </w:t>
      </w:r>
    </w:p>
    <w:p w14:paraId="22BFE33C" w14:textId="77777777" w:rsidR="00697E22" w:rsidRPr="00F977A1" w:rsidRDefault="00697E22" w:rsidP="00420041">
      <w:pPr>
        <w:pStyle w:val="NormalWeb"/>
        <w:numPr>
          <w:ilvl w:val="0"/>
          <w:numId w:val="28"/>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Individually and as a group, lesbian, gay and bisexual people are marginalised and often targeted for violence </w:t>
      </w:r>
      <w:proofErr w:type="gramStart"/>
      <w:r w:rsidRPr="00F977A1">
        <w:rPr>
          <w:rFonts w:ascii="Arial" w:hAnsi="Arial" w:cs="Arial"/>
          <w:color w:val="000000"/>
          <w:sz w:val="20"/>
          <w:szCs w:val="20"/>
        </w:rPr>
        <w:t>on the basis of</w:t>
      </w:r>
      <w:proofErr w:type="gramEnd"/>
      <w:r w:rsidRPr="00F977A1">
        <w:rPr>
          <w:rFonts w:ascii="Arial" w:hAnsi="Arial" w:cs="Arial"/>
          <w:color w:val="000000"/>
          <w:sz w:val="20"/>
          <w:szCs w:val="20"/>
        </w:rPr>
        <w:t xml:space="preserve"> their sexual orientation. The State often fails to ensure their safety. </w:t>
      </w:r>
    </w:p>
    <w:p w14:paraId="367D3A8E" w14:textId="77777777" w:rsidR="00697E22" w:rsidRPr="00F977A1" w:rsidRDefault="00697E22" w:rsidP="00420041">
      <w:pPr>
        <w:pStyle w:val="NormalWeb"/>
        <w:numPr>
          <w:ilvl w:val="0"/>
          <w:numId w:val="28"/>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Discrimination based on sexual orientation is evident in all countries, including in this region. It denies the equality of lesbian, gay and bisexual people. </w:t>
      </w:r>
    </w:p>
    <w:p w14:paraId="7D3C378B" w14:textId="77777777" w:rsidR="00697E22" w:rsidRPr="00F977A1" w:rsidRDefault="00697E22" w:rsidP="00420041">
      <w:pPr>
        <w:pStyle w:val="NormalWeb"/>
        <w:numPr>
          <w:ilvl w:val="0"/>
          <w:numId w:val="28"/>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 xml:space="preserve">Lesbian, gay and bisexual human rights defenders are often targeted because of their advocacy. They experience violations of their rights to expression, </w:t>
      </w:r>
      <w:proofErr w:type="gramStart"/>
      <w:r w:rsidRPr="00F977A1">
        <w:rPr>
          <w:rFonts w:ascii="Arial" w:hAnsi="Arial" w:cs="Arial"/>
          <w:color w:val="000000"/>
          <w:sz w:val="20"/>
          <w:szCs w:val="20"/>
        </w:rPr>
        <w:t>assembly</w:t>
      </w:r>
      <w:proofErr w:type="gramEnd"/>
      <w:r w:rsidRPr="00F977A1">
        <w:rPr>
          <w:rFonts w:ascii="Arial" w:hAnsi="Arial" w:cs="Arial"/>
          <w:color w:val="000000"/>
          <w:sz w:val="20"/>
          <w:szCs w:val="20"/>
        </w:rPr>
        <w:t xml:space="preserve"> and association.</w:t>
      </w:r>
    </w:p>
    <w:p w14:paraId="0A2BC729" w14:textId="77777777" w:rsidR="00697E22" w:rsidRPr="00F977A1" w:rsidRDefault="00697E22" w:rsidP="00420041">
      <w:pPr>
        <w:pStyle w:val="NormalWeb"/>
        <w:numPr>
          <w:ilvl w:val="0"/>
          <w:numId w:val="28"/>
        </w:numPr>
        <w:spacing w:before="0" w:beforeAutospacing="0" w:after="120" w:afterAutospacing="0" w:line="276" w:lineRule="auto"/>
        <w:ind w:left="714" w:hanging="357"/>
        <w:jc w:val="both"/>
        <w:textAlignment w:val="baseline"/>
        <w:rPr>
          <w:rFonts w:ascii="Arial" w:hAnsi="Arial" w:cs="Arial"/>
          <w:color w:val="000000"/>
          <w:sz w:val="20"/>
          <w:szCs w:val="20"/>
        </w:rPr>
      </w:pPr>
      <w:r w:rsidRPr="00F977A1">
        <w:rPr>
          <w:rFonts w:ascii="Arial" w:hAnsi="Arial" w:cs="Arial"/>
          <w:color w:val="000000"/>
          <w:sz w:val="20"/>
          <w:szCs w:val="20"/>
        </w:rPr>
        <w:t>In all countries, there are opportunities for NHRIs to build support for human rights protections for LGB people. One of an NHRI’s roles is to promote the universality of human rights protections, including through public education, training law enforcement agencies, and dialogues with legislators and policy makers. </w:t>
      </w:r>
    </w:p>
    <w:p w14:paraId="28EA2947" w14:textId="77777777" w:rsidR="0082495B" w:rsidRPr="00A33906" w:rsidRDefault="0082495B" w:rsidP="00420041">
      <w:pPr>
        <w:spacing w:line="276" w:lineRule="auto"/>
        <w:jc w:val="both"/>
        <w:rPr>
          <w:rFonts w:asciiTheme="minorHAnsi" w:eastAsiaTheme="minorEastAsia" w:hAnsiTheme="minorHAnsi" w:cstheme="minorHAnsi"/>
          <w:sz w:val="20"/>
          <w:szCs w:val="20"/>
        </w:rPr>
      </w:pPr>
    </w:p>
    <w:sectPr w:rsidR="0082495B" w:rsidRPr="00A33906" w:rsidSect="0052571D">
      <w:footerReference w:type="default" r:id="rId13"/>
      <w:pgSz w:w="11906" w:h="16838"/>
      <w:pgMar w:top="1361" w:right="1418" w:bottom="170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3D011" w14:textId="77777777" w:rsidR="00232E8B" w:rsidRDefault="00232E8B" w:rsidP="00B8744F">
      <w:r>
        <w:separator/>
      </w:r>
    </w:p>
  </w:endnote>
  <w:endnote w:type="continuationSeparator" w:id="0">
    <w:p w14:paraId="433B35EE" w14:textId="77777777" w:rsidR="00232E8B" w:rsidRDefault="00232E8B" w:rsidP="00B8744F">
      <w:r>
        <w:continuationSeparator/>
      </w:r>
    </w:p>
  </w:endnote>
  <w:endnote w:type="continuationNotice" w:id="1">
    <w:p w14:paraId="37C3259B" w14:textId="77777777" w:rsidR="00232E8B" w:rsidRDefault="00232E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C33E" w14:textId="7CFB362F" w:rsidR="00B8744F" w:rsidRPr="00B8744F" w:rsidRDefault="00D54F59" w:rsidP="00B8744F">
    <w:pPr>
      <w:pStyle w:val="Footer"/>
      <w:tabs>
        <w:tab w:val="clear" w:pos="9026"/>
        <w:tab w:val="right" w:pos="9637"/>
      </w:tabs>
      <w:ind w:left="-567" w:right="-567"/>
    </w:pPr>
    <w:r>
      <w:rPr>
        <w:rStyle w:val="Strong"/>
      </w:rPr>
      <w:t>Sexual Orientation, Gender Identity, Expres</w:t>
    </w:r>
    <w:r w:rsidR="00D67790">
      <w:rPr>
        <w:rStyle w:val="Strong"/>
      </w:rPr>
      <w:t>s</w:t>
    </w:r>
    <w:r>
      <w:rPr>
        <w:rStyle w:val="Strong"/>
      </w:rPr>
      <w:t>ion and Sex Characteristics</w:t>
    </w:r>
    <w:r w:rsidR="00B8744F" w:rsidRPr="00B8744F">
      <w:rPr>
        <w:rStyle w:val="Strong"/>
      </w:rPr>
      <w:t xml:space="preserve"> Fact Sheet Series |</w:t>
    </w:r>
    <w:r w:rsidR="00B8744F" w:rsidRPr="00B8744F">
      <w:t xml:space="preserve"> Fact Sheet </w:t>
    </w:r>
    <w:r w:rsidR="004A4BFF">
      <w:t>2</w:t>
    </w:r>
    <w:r w:rsidR="00B8744F" w:rsidRPr="00B8744F">
      <w:t xml:space="preserve">: </w:t>
    </w:r>
    <w:r w:rsidR="004A4BFF">
      <w:t>Being L,G and B in Asia Pacific</w:t>
    </w:r>
    <w:r w:rsidR="00B8744F">
      <w:tab/>
    </w:r>
    <w:r w:rsidR="00B8744F" w:rsidRPr="00B8744F">
      <w:rPr>
        <w:rStyle w:val="PageNumber"/>
      </w:rPr>
      <w:fldChar w:fldCharType="begin"/>
    </w:r>
    <w:r w:rsidR="00B8744F" w:rsidRPr="00B8744F">
      <w:rPr>
        <w:rStyle w:val="PageNumber"/>
      </w:rPr>
      <w:instrText xml:space="preserve"> PAGE   \* MERGEFORMAT </w:instrText>
    </w:r>
    <w:r w:rsidR="00B8744F" w:rsidRPr="00B8744F">
      <w:rPr>
        <w:rStyle w:val="PageNumber"/>
      </w:rPr>
      <w:fldChar w:fldCharType="separate"/>
    </w:r>
    <w:r w:rsidR="00B8744F" w:rsidRPr="00B8744F">
      <w:rPr>
        <w:rStyle w:val="PageNumber"/>
      </w:rPr>
      <w:t>1</w:t>
    </w:r>
    <w:r w:rsidR="00B8744F" w:rsidRPr="00B8744F">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58F8" w14:textId="77777777" w:rsidR="00232E8B" w:rsidRDefault="00232E8B" w:rsidP="00B8744F"/>
  </w:footnote>
  <w:footnote w:type="continuationSeparator" w:id="0">
    <w:p w14:paraId="75CC0FA0" w14:textId="77777777" w:rsidR="00232E8B" w:rsidRDefault="00232E8B" w:rsidP="00B8744F">
      <w:r>
        <w:continuationSeparator/>
      </w:r>
    </w:p>
  </w:footnote>
  <w:footnote w:type="continuationNotice" w:id="1">
    <w:p w14:paraId="4A08E006" w14:textId="77777777" w:rsidR="00232E8B" w:rsidRDefault="00232E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34F2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581C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D0BD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9466C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5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60F7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86C0C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66800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82A709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042778DC"/>
    <w:multiLevelType w:val="multilevel"/>
    <w:tmpl w:val="D57A5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48C284B"/>
    <w:multiLevelType w:val="multilevel"/>
    <w:tmpl w:val="DB7EF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CE295F"/>
    <w:multiLevelType w:val="multilevel"/>
    <w:tmpl w:val="9B208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EE644A"/>
    <w:multiLevelType w:val="multilevel"/>
    <w:tmpl w:val="5A4C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79149D0"/>
    <w:multiLevelType w:val="multilevel"/>
    <w:tmpl w:val="D80E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11E1D"/>
    <w:multiLevelType w:val="hybridMultilevel"/>
    <w:tmpl w:val="2D382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910AA"/>
    <w:multiLevelType w:val="multilevel"/>
    <w:tmpl w:val="1040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4359D0"/>
    <w:multiLevelType w:val="multilevel"/>
    <w:tmpl w:val="90A80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584FDC"/>
    <w:multiLevelType w:val="multilevel"/>
    <w:tmpl w:val="E6D6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431999"/>
    <w:multiLevelType w:val="multilevel"/>
    <w:tmpl w:val="50066E52"/>
    <w:lvl w:ilvl="0">
      <w:start w:val="1"/>
      <w:numFmt w:val="decimal"/>
      <w:pStyle w:val="ListNumb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46331E5"/>
    <w:multiLevelType w:val="multilevel"/>
    <w:tmpl w:val="9A64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DF3824"/>
    <w:multiLevelType w:val="multilevel"/>
    <w:tmpl w:val="FEA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582578"/>
    <w:multiLevelType w:val="multilevel"/>
    <w:tmpl w:val="5448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095F3C"/>
    <w:multiLevelType w:val="multilevel"/>
    <w:tmpl w:val="E528ACB2"/>
    <w:lvl w:ilvl="0">
      <w:start w:val="1"/>
      <w:numFmt w:val="decimal"/>
      <w:pStyle w:val="ListNumberUnderline"/>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15B7C66"/>
    <w:multiLevelType w:val="multilevel"/>
    <w:tmpl w:val="48E4A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6A6012F"/>
    <w:multiLevelType w:val="multilevel"/>
    <w:tmpl w:val="4374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23"/>
  </w:num>
  <w:num w:numId="8">
    <w:abstractNumId w:val="3"/>
  </w:num>
  <w:num w:numId="9">
    <w:abstractNumId w:val="2"/>
  </w:num>
  <w:num w:numId="10">
    <w:abstractNumId w:val="1"/>
  </w:num>
  <w:num w:numId="11">
    <w:abstractNumId w:val="0"/>
  </w:num>
  <w:num w:numId="12">
    <w:abstractNumId w:val="23"/>
    <w:lvlOverride w:ilvl="0">
      <w:startOverride w:val="1"/>
    </w:lvlOverride>
  </w:num>
  <w:num w:numId="13">
    <w:abstractNumId w:val="23"/>
    <w:lvlOverride w:ilvl="0">
      <w:startOverride w:val="1"/>
    </w:lvlOverride>
  </w:num>
  <w:num w:numId="14">
    <w:abstractNumId w:val="23"/>
    <w:lvlOverride w:ilvl="0">
      <w:startOverride w:val="1"/>
    </w:lvlOverride>
  </w:num>
  <w:num w:numId="15">
    <w:abstractNumId w:val="23"/>
    <w:lvlOverride w:ilvl="0">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3"/>
    <w:lvlOverride w:ilvl="0">
      <w:lvl w:ilvl="0">
        <w:numFmt w:val="lowerLetter"/>
        <w:lvlText w:val="%1."/>
        <w:lvlJc w:val="left"/>
      </w:lvl>
    </w:lvlOverride>
  </w:num>
  <w:num w:numId="22">
    <w:abstractNumId w:val="16"/>
  </w:num>
  <w:num w:numId="23">
    <w:abstractNumId w:val="17"/>
  </w:num>
  <w:num w:numId="24">
    <w:abstractNumId w:val="18"/>
  </w:num>
  <w:num w:numId="25">
    <w:abstractNumId w:val="10"/>
  </w:num>
  <w:num w:numId="26">
    <w:abstractNumId w:val="10"/>
    <w:lvlOverride w:ilvl="0"/>
  </w:num>
  <w:num w:numId="27">
    <w:abstractNumId w:val="24"/>
  </w:num>
  <w:num w:numId="28">
    <w:abstractNumId w:val="25"/>
  </w:num>
  <w:num w:numId="29">
    <w:abstractNumId w:val="11"/>
  </w:num>
  <w:num w:numId="30">
    <w:abstractNumId w:val="22"/>
  </w:num>
  <w:num w:numId="31">
    <w:abstractNumId w:val="12"/>
  </w:num>
  <w:num w:numId="32">
    <w:abstractNumId w:val="14"/>
  </w:num>
  <w:num w:numId="33">
    <w:abstractNumId w:val="21"/>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77C"/>
    <w:rsid w:val="00007835"/>
    <w:rsid w:val="0001265D"/>
    <w:rsid w:val="0001677C"/>
    <w:rsid w:val="00036105"/>
    <w:rsid w:val="00040227"/>
    <w:rsid w:val="000557E9"/>
    <w:rsid w:val="0005587F"/>
    <w:rsid w:val="00062CE7"/>
    <w:rsid w:val="00071E18"/>
    <w:rsid w:val="00082067"/>
    <w:rsid w:val="0008386E"/>
    <w:rsid w:val="000839D3"/>
    <w:rsid w:val="000A301B"/>
    <w:rsid w:val="000A3236"/>
    <w:rsid w:val="000B5FE5"/>
    <w:rsid w:val="000C1EB1"/>
    <w:rsid w:val="000D07D2"/>
    <w:rsid w:val="000D497E"/>
    <w:rsid w:val="00164F1B"/>
    <w:rsid w:val="001B57F3"/>
    <w:rsid w:val="001B7065"/>
    <w:rsid w:val="001C4893"/>
    <w:rsid w:val="001E10DA"/>
    <w:rsid w:val="00204151"/>
    <w:rsid w:val="00207A61"/>
    <w:rsid w:val="00207A9E"/>
    <w:rsid w:val="00232E8B"/>
    <w:rsid w:val="00240B70"/>
    <w:rsid w:val="00255B47"/>
    <w:rsid w:val="00266F21"/>
    <w:rsid w:val="0028009C"/>
    <w:rsid w:val="0028457B"/>
    <w:rsid w:val="002974CE"/>
    <w:rsid w:val="002A7D45"/>
    <w:rsid w:val="002C1032"/>
    <w:rsid w:val="002C70B6"/>
    <w:rsid w:val="002D459D"/>
    <w:rsid w:val="002E32A1"/>
    <w:rsid w:val="002F5AFB"/>
    <w:rsid w:val="00343932"/>
    <w:rsid w:val="00363203"/>
    <w:rsid w:val="00395876"/>
    <w:rsid w:val="003C0014"/>
    <w:rsid w:val="003E773D"/>
    <w:rsid w:val="003F0205"/>
    <w:rsid w:val="00410E64"/>
    <w:rsid w:val="004160EB"/>
    <w:rsid w:val="00420041"/>
    <w:rsid w:val="0042327D"/>
    <w:rsid w:val="00443060"/>
    <w:rsid w:val="00455496"/>
    <w:rsid w:val="00460CAA"/>
    <w:rsid w:val="00490A46"/>
    <w:rsid w:val="004A4BFF"/>
    <w:rsid w:val="004A67A0"/>
    <w:rsid w:val="00505E9A"/>
    <w:rsid w:val="005068F4"/>
    <w:rsid w:val="0052571D"/>
    <w:rsid w:val="00534B2C"/>
    <w:rsid w:val="00596B8F"/>
    <w:rsid w:val="005C797C"/>
    <w:rsid w:val="005D5E7F"/>
    <w:rsid w:val="005D74B6"/>
    <w:rsid w:val="005E001B"/>
    <w:rsid w:val="005E6C0E"/>
    <w:rsid w:val="005F5BD8"/>
    <w:rsid w:val="00601502"/>
    <w:rsid w:val="006158E2"/>
    <w:rsid w:val="00644869"/>
    <w:rsid w:val="00653170"/>
    <w:rsid w:val="00656C1C"/>
    <w:rsid w:val="0066410A"/>
    <w:rsid w:val="00684F1B"/>
    <w:rsid w:val="00691DC8"/>
    <w:rsid w:val="00697E22"/>
    <w:rsid w:val="006A0DC5"/>
    <w:rsid w:val="006B6F6D"/>
    <w:rsid w:val="006B7659"/>
    <w:rsid w:val="006C2EDD"/>
    <w:rsid w:val="006E6110"/>
    <w:rsid w:val="006F7E14"/>
    <w:rsid w:val="00706EFC"/>
    <w:rsid w:val="00712592"/>
    <w:rsid w:val="007374C4"/>
    <w:rsid w:val="007624DB"/>
    <w:rsid w:val="00772A9C"/>
    <w:rsid w:val="00792531"/>
    <w:rsid w:val="007944F0"/>
    <w:rsid w:val="0079588C"/>
    <w:rsid w:val="007E5FF8"/>
    <w:rsid w:val="00811115"/>
    <w:rsid w:val="0082495B"/>
    <w:rsid w:val="00831870"/>
    <w:rsid w:val="0085733D"/>
    <w:rsid w:val="008908AB"/>
    <w:rsid w:val="008B3FAD"/>
    <w:rsid w:val="008C61B1"/>
    <w:rsid w:val="008C7846"/>
    <w:rsid w:val="008F5B75"/>
    <w:rsid w:val="00902B63"/>
    <w:rsid w:val="009465F3"/>
    <w:rsid w:val="00950DF6"/>
    <w:rsid w:val="00960639"/>
    <w:rsid w:val="009818D5"/>
    <w:rsid w:val="009A35BC"/>
    <w:rsid w:val="009A5C28"/>
    <w:rsid w:val="009B4567"/>
    <w:rsid w:val="009C1314"/>
    <w:rsid w:val="009D4601"/>
    <w:rsid w:val="009D7750"/>
    <w:rsid w:val="009E79DE"/>
    <w:rsid w:val="009F5920"/>
    <w:rsid w:val="00A07951"/>
    <w:rsid w:val="00A33906"/>
    <w:rsid w:val="00A42100"/>
    <w:rsid w:val="00A463FC"/>
    <w:rsid w:val="00A56895"/>
    <w:rsid w:val="00AB1FD8"/>
    <w:rsid w:val="00AB438B"/>
    <w:rsid w:val="00AB7158"/>
    <w:rsid w:val="00AD1815"/>
    <w:rsid w:val="00AD235B"/>
    <w:rsid w:val="00AD6DB4"/>
    <w:rsid w:val="00B2124C"/>
    <w:rsid w:val="00B44D3E"/>
    <w:rsid w:val="00B51FDA"/>
    <w:rsid w:val="00B62787"/>
    <w:rsid w:val="00B8744F"/>
    <w:rsid w:val="00B87BE3"/>
    <w:rsid w:val="00BC4AA8"/>
    <w:rsid w:val="00BC57D5"/>
    <w:rsid w:val="00BE7A4F"/>
    <w:rsid w:val="00BF0913"/>
    <w:rsid w:val="00C41A75"/>
    <w:rsid w:val="00C84FF0"/>
    <w:rsid w:val="00C940A2"/>
    <w:rsid w:val="00CA3CE1"/>
    <w:rsid w:val="00CA4D93"/>
    <w:rsid w:val="00CB59C2"/>
    <w:rsid w:val="00CE2AC5"/>
    <w:rsid w:val="00CF11CB"/>
    <w:rsid w:val="00CF69BB"/>
    <w:rsid w:val="00D10BEA"/>
    <w:rsid w:val="00D54F59"/>
    <w:rsid w:val="00D629B1"/>
    <w:rsid w:val="00D65FFD"/>
    <w:rsid w:val="00D67790"/>
    <w:rsid w:val="00D74CA2"/>
    <w:rsid w:val="00DA236A"/>
    <w:rsid w:val="00DB4A21"/>
    <w:rsid w:val="00DD6D63"/>
    <w:rsid w:val="00DF5EBF"/>
    <w:rsid w:val="00E10AA0"/>
    <w:rsid w:val="00E17F99"/>
    <w:rsid w:val="00E403A6"/>
    <w:rsid w:val="00E47FB9"/>
    <w:rsid w:val="00E66855"/>
    <w:rsid w:val="00E75586"/>
    <w:rsid w:val="00E97169"/>
    <w:rsid w:val="00EB3036"/>
    <w:rsid w:val="00ED2169"/>
    <w:rsid w:val="00ED6E2A"/>
    <w:rsid w:val="00F16622"/>
    <w:rsid w:val="00F4028A"/>
    <w:rsid w:val="00F504D3"/>
    <w:rsid w:val="00F64430"/>
    <w:rsid w:val="00F75332"/>
    <w:rsid w:val="00F85FD5"/>
    <w:rsid w:val="00F96344"/>
    <w:rsid w:val="00F977A1"/>
    <w:rsid w:val="00FA19E7"/>
    <w:rsid w:val="00FD0C0C"/>
    <w:rsid w:val="00FD7B31"/>
    <w:rsid w:val="115B3081"/>
    <w:rsid w:val="696C868E"/>
    <w:rsid w:val="69DDDC9F"/>
    <w:rsid w:val="6D770049"/>
    <w:rsid w:val="6D808166"/>
    <w:rsid w:val="725E2988"/>
    <w:rsid w:val="769A32F4"/>
    <w:rsid w:val="7DD35D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6A9F8"/>
  <w15:chartTrackingRefBased/>
  <w15:docId w15:val="{5EDDE4FB-01FD-B14D-A3D2-E73B419C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zh-CN" w:bidi="ar-SA"/>
      </w:rPr>
    </w:rPrDefault>
    <w:pPrDefault>
      <w:pPr>
        <w:spacing w:after="16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5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64F1B"/>
    <w:pPr>
      <w:keepNext/>
      <w:keepLines/>
      <w:spacing w:before="600" w:after="120"/>
      <w:outlineLvl w:val="0"/>
    </w:pPr>
    <w:rPr>
      <w:b/>
      <w:bCs/>
      <w:color w:val="0081C6" w:themeColor="text2"/>
      <w:sz w:val="30"/>
      <w:szCs w:val="30"/>
    </w:rPr>
  </w:style>
  <w:style w:type="paragraph" w:styleId="Heading2">
    <w:name w:val="heading 2"/>
    <w:basedOn w:val="Normal"/>
    <w:next w:val="Normal"/>
    <w:link w:val="Heading2Char"/>
    <w:uiPriority w:val="9"/>
    <w:unhideWhenUsed/>
    <w:qFormat/>
    <w:rsid w:val="003C0014"/>
    <w:pPr>
      <w:keepNext/>
      <w:keepLines/>
      <w:spacing w:before="240" w:after="120"/>
      <w:outlineLvl w:val="1"/>
    </w:pPr>
    <w:rPr>
      <w:b/>
      <w:bCs/>
      <w:color w:val="808285"/>
      <w:spacing w:val="6"/>
      <w:sz w:val="23"/>
      <w:szCs w:val="23"/>
    </w:rPr>
  </w:style>
  <w:style w:type="paragraph" w:styleId="Heading3">
    <w:name w:val="heading 3"/>
    <w:basedOn w:val="Normal"/>
    <w:next w:val="Normal"/>
    <w:link w:val="Heading3Char"/>
    <w:uiPriority w:val="9"/>
    <w:semiHidden/>
    <w:unhideWhenUsed/>
    <w:rsid w:val="00D74CA2"/>
    <w:pPr>
      <w:keepNext/>
      <w:keepLines/>
      <w:spacing w:before="40"/>
      <w:outlineLvl w:val="2"/>
    </w:pPr>
    <w:rPr>
      <w:rFonts w:asciiTheme="majorHAnsi" w:eastAsiaTheme="majorEastAsia" w:hAnsiTheme="majorHAnsi" w:cstheme="majorBidi"/>
      <w:b/>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customStyle="1" w:styleId="Spacer-1px">
    <w:name w:val="Spacer - 1px"/>
    <w:basedOn w:val="Normal"/>
    <w:rsid w:val="00772A9C"/>
    <w:rPr>
      <w:noProof/>
      <w:sz w:val="2"/>
      <w:szCs w:val="2"/>
    </w:rPr>
  </w:style>
  <w:style w:type="paragraph" w:styleId="Header">
    <w:name w:val="header"/>
    <w:basedOn w:val="Normal"/>
    <w:link w:val="HeaderChar"/>
    <w:uiPriority w:val="99"/>
    <w:unhideWhenUsed/>
    <w:rsid w:val="00B8744F"/>
    <w:pPr>
      <w:tabs>
        <w:tab w:val="center" w:pos="4513"/>
        <w:tab w:val="right" w:pos="9026"/>
      </w:tabs>
    </w:pPr>
  </w:style>
  <w:style w:type="character" w:customStyle="1" w:styleId="HeaderChar">
    <w:name w:val="Header Char"/>
    <w:basedOn w:val="DefaultParagraphFont"/>
    <w:link w:val="Header"/>
    <w:uiPriority w:val="99"/>
    <w:rsid w:val="00B8744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B8744F"/>
    <w:pPr>
      <w:tabs>
        <w:tab w:val="center" w:pos="4513"/>
        <w:tab w:val="right" w:pos="9026"/>
      </w:tabs>
    </w:pPr>
    <w:rPr>
      <w:noProof/>
      <w:color w:val="808285"/>
      <w:spacing w:val="4"/>
      <w:sz w:val="16"/>
      <w:szCs w:val="16"/>
    </w:rPr>
  </w:style>
  <w:style w:type="character" w:customStyle="1" w:styleId="FooterChar">
    <w:name w:val="Footer Char"/>
    <w:basedOn w:val="DefaultParagraphFont"/>
    <w:link w:val="Footer"/>
    <w:uiPriority w:val="99"/>
    <w:rsid w:val="00B8744F"/>
    <w:rPr>
      <w:rFonts w:ascii="Times New Roman" w:eastAsia="Times New Roman" w:hAnsi="Times New Roman" w:cs="Times New Roman"/>
      <w:noProof/>
      <w:color w:val="808285"/>
      <w:spacing w:val="4"/>
      <w:sz w:val="16"/>
      <w:szCs w:val="16"/>
      <w:lang w:eastAsia="en-GB"/>
    </w:rPr>
  </w:style>
  <w:style w:type="character" w:styleId="PageNumber">
    <w:name w:val="page number"/>
    <w:uiPriority w:val="99"/>
    <w:unhideWhenUsed/>
    <w:rsid w:val="00B8744F"/>
    <w:rPr>
      <w:b/>
      <w:bCs/>
    </w:rPr>
  </w:style>
  <w:style w:type="character" w:styleId="Strong">
    <w:name w:val="Strong"/>
    <w:basedOn w:val="DefaultParagraphFont"/>
    <w:uiPriority w:val="22"/>
    <w:qFormat/>
    <w:rsid w:val="00B8744F"/>
    <w:rPr>
      <w:b/>
      <w:bCs/>
    </w:rPr>
  </w:style>
  <w:style w:type="paragraph" w:styleId="Subtitle">
    <w:name w:val="Subtitle"/>
    <w:basedOn w:val="Normal"/>
    <w:next w:val="Normal"/>
    <w:link w:val="SubtitleChar"/>
    <w:uiPriority w:val="11"/>
    <w:qFormat/>
    <w:rsid w:val="008C61B1"/>
    <w:rPr>
      <w:b/>
      <w:bCs/>
      <w:caps/>
      <w:color w:val="13B5EA" w:themeColor="accent6"/>
      <w:spacing w:val="28"/>
    </w:rPr>
  </w:style>
  <w:style w:type="character" w:customStyle="1" w:styleId="SubtitleChar">
    <w:name w:val="Subtitle Char"/>
    <w:basedOn w:val="DefaultParagraphFont"/>
    <w:link w:val="Subtitle"/>
    <w:uiPriority w:val="11"/>
    <w:rsid w:val="008C61B1"/>
    <w:rPr>
      <w:rFonts w:ascii="Times New Roman" w:eastAsia="Times New Roman" w:hAnsi="Times New Roman" w:cs="Times New Roman"/>
      <w:b/>
      <w:bCs/>
      <w:caps/>
      <w:color w:val="13B5EA" w:themeColor="accent6"/>
      <w:spacing w:val="28"/>
      <w:sz w:val="24"/>
      <w:szCs w:val="24"/>
      <w:lang w:eastAsia="en-GB"/>
    </w:rPr>
  </w:style>
  <w:style w:type="paragraph" w:styleId="Title">
    <w:name w:val="Title"/>
    <w:basedOn w:val="Normal"/>
    <w:next w:val="Normal"/>
    <w:link w:val="TitleChar"/>
    <w:uiPriority w:val="10"/>
    <w:qFormat/>
    <w:rsid w:val="00DD6D63"/>
    <w:pPr>
      <w:spacing w:after="480"/>
    </w:pPr>
    <w:rPr>
      <w:color w:val="0081C6" w:themeColor="text2"/>
      <w:sz w:val="53"/>
      <w:szCs w:val="53"/>
    </w:rPr>
  </w:style>
  <w:style w:type="character" w:customStyle="1" w:styleId="TitleChar">
    <w:name w:val="Title Char"/>
    <w:basedOn w:val="DefaultParagraphFont"/>
    <w:link w:val="Title"/>
    <w:uiPriority w:val="10"/>
    <w:rsid w:val="00DD6D63"/>
    <w:rPr>
      <w:rFonts w:ascii="Times New Roman" w:eastAsia="Times New Roman" w:hAnsi="Times New Roman" w:cs="Times New Roman"/>
      <w:color w:val="0081C6" w:themeColor="text2"/>
      <w:sz w:val="53"/>
      <w:szCs w:val="53"/>
      <w:lang w:eastAsia="en-GB"/>
    </w:rPr>
  </w:style>
  <w:style w:type="character" w:customStyle="1" w:styleId="Heading1Char">
    <w:name w:val="Heading 1 Char"/>
    <w:basedOn w:val="DefaultParagraphFont"/>
    <w:link w:val="Heading1"/>
    <w:uiPriority w:val="9"/>
    <w:rsid w:val="00164F1B"/>
    <w:rPr>
      <w:b/>
      <w:bCs/>
      <w:color w:val="0081C6" w:themeColor="text2"/>
      <w:sz w:val="30"/>
      <w:szCs w:val="30"/>
    </w:rPr>
  </w:style>
  <w:style w:type="paragraph" w:styleId="Quote">
    <w:name w:val="Quote"/>
    <w:basedOn w:val="Normal"/>
    <w:next w:val="Normal"/>
    <w:link w:val="QuoteChar"/>
    <w:uiPriority w:val="29"/>
    <w:qFormat/>
    <w:rsid w:val="009818D5"/>
    <w:pPr>
      <w:pBdr>
        <w:top w:val="single" w:sz="48" w:space="6" w:color="E6E7E8" w:themeColor="background2"/>
        <w:left w:val="single" w:sz="48" w:space="0" w:color="E6E7E8" w:themeColor="background2"/>
        <w:bottom w:val="single" w:sz="48" w:space="3" w:color="E6E7E8" w:themeColor="background2"/>
        <w:right w:val="single" w:sz="48" w:space="0" w:color="E6E7E8" w:themeColor="background2"/>
      </w:pBdr>
      <w:shd w:val="clear" w:color="auto" w:fill="E6E7E8" w:themeFill="background2"/>
      <w:spacing w:before="240" w:after="360" w:line="324" w:lineRule="auto"/>
      <w:ind w:left="142" w:right="142"/>
      <w:jc w:val="center"/>
    </w:pPr>
    <w:rPr>
      <w:b/>
      <w:bCs/>
      <w:i/>
      <w:iCs/>
      <w:color w:val="0081C6" w:themeColor="text2"/>
      <w:sz w:val="19"/>
      <w:szCs w:val="19"/>
    </w:rPr>
  </w:style>
  <w:style w:type="character" w:customStyle="1" w:styleId="QuoteChar">
    <w:name w:val="Quote Char"/>
    <w:basedOn w:val="DefaultParagraphFont"/>
    <w:link w:val="Quote"/>
    <w:uiPriority w:val="29"/>
    <w:rsid w:val="009818D5"/>
    <w:rPr>
      <w:b/>
      <w:bCs/>
      <w:i/>
      <w:iCs/>
      <w:color w:val="0081C6" w:themeColor="text2"/>
      <w:sz w:val="19"/>
      <w:szCs w:val="19"/>
      <w:shd w:val="clear" w:color="auto" w:fill="E6E7E8" w:themeFill="background2"/>
    </w:rPr>
  </w:style>
  <w:style w:type="character" w:customStyle="1" w:styleId="Heading2Char">
    <w:name w:val="Heading 2 Char"/>
    <w:basedOn w:val="DefaultParagraphFont"/>
    <w:link w:val="Heading2"/>
    <w:uiPriority w:val="9"/>
    <w:rsid w:val="003C0014"/>
    <w:rPr>
      <w:b/>
      <w:bCs/>
      <w:color w:val="808285"/>
      <w:spacing w:val="6"/>
      <w:sz w:val="23"/>
      <w:szCs w:val="23"/>
    </w:rPr>
  </w:style>
  <w:style w:type="paragraph" w:customStyle="1" w:styleId="BlueLine">
    <w:name w:val="Blue Line"/>
    <w:basedOn w:val="Normal"/>
    <w:qFormat/>
    <w:rsid w:val="009818D5"/>
    <w:pPr>
      <w:pBdr>
        <w:top w:val="single" w:sz="6" w:space="1" w:color="A9D8F4" w:themeColor="accent3"/>
      </w:pBdr>
      <w:spacing w:line="264" w:lineRule="auto"/>
    </w:pPr>
  </w:style>
  <w:style w:type="paragraph" w:styleId="FootnoteText">
    <w:name w:val="footnote text"/>
    <w:basedOn w:val="Normal"/>
    <w:link w:val="FootnoteTextChar"/>
    <w:uiPriority w:val="99"/>
    <w:semiHidden/>
    <w:unhideWhenUsed/>
    <w:rsid w:val="0079588C"/>
    <w:rPr>
      <w:sz w:val="16"/>
    </w:rPr>
  </w:style>
  <w:style w:type="character" w:customStyle="1" w:styleId="FootnoteTextChar">
    <w:name w:val="Footnote Text Char"/>
    <w:basedOn w:val="DefaultParagraphFont"/>
    <w:link w:val="FootnoteText"/>
    <w:uiPriority w:val="99"/>
    <w:semiHidden/>
    <w:rsid w:val="0079588C"/>
    <w:rPr>
      <w:rFonts w:ascii="Times New Roman" w:eastAsia="Times New Roman" w:hAnsi="Times New Roman" w:cs="Times New Roman"/>
      <w:sz w:val="16"/>
      <w:szCs w:val="24"/>
      <w:lang w:eastAsia="en-GB"/>
    </w:rPr>
  </w:style>
  <w:style w:type="character" w:styleId="FootnoteReference">
    <w:name w:val="footnote reference"/>
    <w:basedOn w:val="DefaultParagraphFont"/>
    <w:uiPriority w:val="99"/>
    <w:semiHidden/>
    <w:unhideWhenUsed/>
    <w:rsid w:val="0079588C"/>
    <w:rPr>
      <w:vertAlign w:val="superscript"/>
    </w:rPr>
  </w:style>
  <w:style w:type="paragraph" w:styleId="ListNumber">
    <w:name w:val="List Number"/>
    <w:basedOn w:val="Normal"/>
    <w:uiPriority w:val="19"/>
    <w:unhideWhenUsed/>
    <w:qFormat/>
    <w:rsid w:val="006A0DC5"/>
    <w:pPr>
      <w:numPr>
        <w:numId w:val="17"/>
      </w:numPr>
      <w:spacing w:before="360"/>
    </w:pPr>
  </w:style>
  <w:style w:type="character" w:styleId="Hyperlink">
    <w:name w:val="Hyperlink"/>
    <w:basedOn w:val="DefaultParagraphFont"/>
    <w:uiPriority w:val="99"/>
    <w:unhideWhenUsed/>
    <w:rsid w:val="00AD235B"/>
    <w:rPr>
      <w:color w:val="000000" w:themeColor="hyperlink"/>
      <w:u w:val="single"/>
    </w:rPr>
  </w:style>
  <w:style w:type="character" w:styleId="UnresolvedMention">
    <w:name w:val="Unresolved Mention"/>
    <w:basedOn w:val="DefaultParagraphFont"/>
    <w:uiPriority w:val="99"/>
    <w:semiHidden/>
    <w:unhideWhenUsed/>
    <w:rsid w:val="00AD235B"/>
    <w:rPr>
      <w:color w:val="605E5C"/>
      <w:shd w:val="clear" w:color="auto" w:fill="E1DFDD"/>
    </w:rPr>
  </w:style>
  <w:style w:type="table" w:styleId="TableGrid">
    <w:name w:val="Table Grid"/>
    <w:basedOn w:val="TableNormal"/>
    <w:uiPriority w:val="59"/>
    <w:rsid w:val="00FD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berUnderline">
    <w:name w:val="List Number Underline"/>
    <w:basedOn w:val="ListNumber"/>
    <w:qFormat/>
    <w:rsid w:val="009B4567"/>
    <w:pPr>
      <w:numPr>
        <w:numId w:val="7"/>
      </w:numPr>
      <w:pBdr>
        <w:bottom w:val="single" w:sz="6" w:space="6" w:color="A9D8F4" w:themeColor="accent3"/>
        <w:between w:val="single" w:sz="6" w:space="6" w:color="A9D8F4" w:themeColor="accent3"/>
      </w:pBdr>
      <w:spacing w:before="140" w:after="60"/>
    </w:pPr>
  </w:style>
  <w:style w:type="table" w:customStyle="1" w:styleId="APFTable">
    <w:name w:val="APF Table"/>
    <w:basedOn w:val="TableNormal"/>
    <w:uiPriority w:val="99"/>
    <w:rsid w:val="00C940A2"/>
    <w:pPr>
      <w:spacing w:before="120" w:after="120"/>
    </w:pPr>
    <w:tblPr>
      <w:tblStyleRowBandSize w:val="1"/>
      <w:tblStyleCol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cPr>
      <w:shd w:val="clear" w:color="auto" w:fill="E0F0FB" w:themeFill="accent1"/>
    </w:tcPr>
    <w:tblStylePr w:type="firstRow">
      <w:pPr>
        <w:wordWrap/>
        <w:spacing w:beforeLines="0" w:before="240" w:beforeAutospacing="0"/>
      </w:pPr>
      <w:rPr>
        <w:b/>
        <w:color w:val="FFFFFF" w:themeColor="background1"/>
      </w:rPr>
      <w:tblPr/>
      <w:tcPr>
        <w:shd w:val="clear" w:color="auto" w:fill="0081C6" w:themeFill="text2"/>
      </w:tcPr>
    </w:tblStylePr>
    <w:tblStylePr w:type="lastRow">
      <w:rPr>
        <w:b/>
      </w:rPr>
    </w:tblStylePr>
    <w:tblStylePr w:type="firstCol">
      <w:rPr>
        <w:b/>
      </w:rPr>
      <w:tblPr/>
      <w:tcPr>
        <w:shd w:val="clear" w:color="auto" w:fill="A9D8F4" w:themeFill="accent3"/>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E0F0FB" w:themeFill="accent1"/>
      </w:tcPr>
    </w:tblStylePr>
  </w:style>
  <w:style w:type="paragraph" w:customStyle="1" w:styleId="Spacer-Cover">
    <w:name w:val="Spacer - Cover"/>
    <w:basedOn w:val="Spacer-1px"/>
    <w:rsid w:val="002F5AFB"/>
    <w:pPr>
      <w:spacing w:after="2540"/>
    </w:pPr>
  </w:style>
  <w:style w:type="paragraph" w:customStyle="1" w:styleId="DiagramText">
    <w:name w:val="Diagram Text"/>
    <w:basedOn w:val="Normal"/>
    <w:qFormat/>
    <w:rsid w:val="00653170"/>
    <w:rPr>
      <w:sz w:val="19"/>
      <w:szCs w:val="19"/>
    </w:rPr>
  </w:style>
  <w:style w:type="paragraph" w:styleId="NoSpacing">
    <w:name w:val="No Spacing"/>
    <w:uiPriority w:val="1"/>
    <w:qFormat/>
    <w:rsid w:val="00644869"/>
    <w:pPr>
      <w:spacing w:after="0" w:line="240" w:lineRule="auto"/>
    </w:pPr>
  </w:style>
  <w:style w:type="character" w:customStyle="1" w:styleId="Heading3Char">
    <w:name w:val="Heading 3 Char"/>
    <w:basedOn w:val="DefaultParagraphFont"/>
    <w:link w:val="Heading3"/>
    <w:uiPriority w:val="9"/>
    <w:semiHidden/>
    <w:rsid w:val="00D74CA2"/>
    <w:rPr>
      <w:rFonts w:asciiTheme="majorHAnsi" w:eastAsiaTheme="majorEastAsia" w:hAnsiTheme="majorHAnsi" w:cstheme="majorBidi"/>
      <w:b/>
      <w:color w:val="000000" w:themeColor="text1"/>
      <w:sz w:val="24"/>
      <w:szCs w:val="24"/>
      <w:lang w:eastAsia="en-GB"/>
    </w:rPr>
  </w:style>
  <w:style w:type="paragraph" w:styleId="ListBullet">
    <w:name w:val="List Bullet"/>
    <w:basedOn w:val="Normal"/>
    <w:uiPriority w:val="99"/>
    <w:unhideWhenUsed/>
    <w:qFormat/>
    <w:rsid w:val="00D74CA2"/>
    <w:pPr>
      <w:numPr>
        <w:numId w:val="2"/>
      </w:numPr>
      <w:ind w:left="357" w:hanging="357"/>
    </w:pPr>
  </w:style>
  <w:style w:type="paragraph" w:styleId="NormalWeb">
    <w:name w:val="Normal (Web)"/>
    <w:basedOn w:val="Normal"/>
    <w:uiPriority w:val="99"/>
    <w:unhideWhenUsed/>
    <w:rsid w:val="0085733D"/>
    <w:pPr>
      <w:spacing w:before="100" w:beforeAutospacing="1" w:after="100" w:afterAutospacing="1"/>
    </w:pPr>
  </w:style>
  <w:style w:type="character" w:customStyle="1" w:styleId="normaltextrun">
    <w:name w:val="normaltextrun"/>
    <w:basedOn w:val="DefaultParagraphFont"/>
    <w:rsid w:val="009D7750"/>
  </w:style>
  <w:style w:type="character" w:customStyle="1" w:styleId="eop">
    <w:name w:val="eop"/>
    <w:basedOn w:val="DefaultParagraphFont"/>
    <w:rsid w:val="009D7750"/>
  </w:style>
  <w:style w:type="paragraph" w:styleId="ListParagraph">
    <w:name w:val="List Paragraph"/>
    <w:basedOn w:val="Normal"/>
    <w:uiPriority w:val="34"/>
    <w:rsid w:val="00FA19E7"/>
    <w:pPr>
      <w:ind w:left="720"/>
      <w:contextualSpacing/>
    </w:pPr>
  </w:style>
  <w:style w:type="paragraph" w:customStyle="1" w:styleId="paragraph">
    <w:name w:val="paragraph"/>
    <w:basedOn w:val="Normal"/>
    <w:rsid w:val="00BC57D5"/>
    <w:pPr>
      <w:spacing w:before="100" w:beforeAutospacing="1" w:after="100" w:afterAutospacing="1"/>
    </w:pPr>
  </w:style>
  <w:style w:type="character" w:customStyle="1" w:styleId="apple-tab-span">
    <w:name w:val="apple-tab-span"/>
    <w:basedOn w:val="DefaultParagraphFont"/>
    <w:rsid w:val="00762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10463">
      <w:bodyDiv w:val="1"/>
      <w:marLeft w:val="0"/>
      <w:marRight w:val="0"/>
      <w:marTop w:val="0"/>
      <w:marBottom w:val="0"/>
      <w:divBdr>
        <w:top w:val="none" w:sz="0" w:space="0" w:color="auto"/>
        <w:left w:val="none" w:sz="0" w:space="0" w:color="auto"/>
        <w:bottom w:val="none" w:sz="0" w:space="0" w:color="auto"/>
        <w:right w:val="none" w:sz="0" w:space="0" w:color="auto"/>
      </w:divBdr>
    </w:div>
    <w:div w:id="57024427">
      <w:bodyDiv w:val="1"/>
      <w:marLeft w:val="0"/>
      <w:marRight w:val="0"/>
      <w:marTop w:val="0"/>
      <w:marBottom w:val="0"/>
      <w:divBdr>
        <w:top w:val="none" w:sz="0" w:space="0" w:color="auto"/>
        <w:left w:val="none" w:sz="0" w:space="0" w:color="auto"/>
        <w:bottom w:val="none" w:sz="0" w:space="0" w:color="auto"/>
        <w:right w:val="none" w:sz="0" w:space="0" w:color="auto"/>
      </w:divBdr>
    </w:div>
    <w:div w:id="242646326">
      <w:bodyDiv w:val="1"/>
      <w:marLeft w:val="0"/>
      <w:marRight w:val="0"/>
      <w:marTop w:val="0"/>
      <w:marBottom w:val="0"/>
      <w:divBdr>
        <w:top w:val="none" w:sz="0" w:space="0" w:color="auto"/>
        <w:left w:val="none" w:sz="0" w:space="0" w:color="auto"/>
        <w:bottom w:val="none" w:sz="0" w:space="0" w:color="auto"/>
        <w:right w:val="none" w:sz="0" w:space="0" w:color="auto"/>
      </w:divBdr>
    </w:div>
    <w:div w:id="272979414">
      <w:bodyDiv w:val="1"/>
      <w:marLeft w:val="0"/>
      <w:marRight w:val="0"/>
      <w:marTop w:val="0"/>
      <w:marBottom w:val="0"/>
      <w:divBdr>
        <w:top w:val="none" w:sz="0" w:space="0" w:color="auto"/>
        <w:left w:val="none" w:sz="0" w:space="0" w:color="auto"/>
        <w:bottom w:val="none" w:sz="0" w:space="0" w:color="auto"/>
        <w:right w:val="none" w:sz="0" w:space="0" w:color="auto"/>
      </w:divBdr>
    </w:div>
    <w:div w:id="273751311">
      <w:bodyDiv w:val="1"/>
      <w:marLeft w:val="0"/>
      <w:marRight w:val="0"/>
      <w:marTop w:val="0"/>
      <w:marBottom w:val="0"/>
      <w:divBdr>
        <w:top w:val="none" w:sz="0" w:space="0" w:color="auto"/>
        <w:left w:val="none" w:sz="0" w:space="0" w:color="auto"/>
        <w:bottom w:val="none" w:sz="0" w:space="0" w:color="auto"/>
        <w:right w:val="none" w:sz="0" w:space="0" w:color="auto"/>
      </w:divBdr>
    </w:div>
    <w:div w:id="292249730">
      <w:bodyDiv w:val="1"/>
      <w:marLeft w:val="0"/>
      <w:marRight w:val="0"/>
      <w:marTop w:val="0"/>
      <w:marBottom w:val="0"/>
      <w:divBdr>
        <w:top w:val="none" w:sz="0" w:space="0" w:color="auto"/>
        <w:left w:val="none" w:sz="0" w:space="0" w:color="auto"/>
        <w:bottom w:val="none" w:sz="0" w:space="0" w:color="auto"/>
        <w:right w:val="none" w:sz="0" w:space="0" w:color="auto"/>
      </w:divBdr>
    </w:div>
    <w:div w:id="329916525">
      <w:bodyDiv w:val="1"/>
      <w:marLeft w:val="0"/>
      <w:marRight w:val="0"/>
      <w:marTop w:val="0"/>
      <w:marBottom w:val="0"/>
      <w:divBdr>
        <w:top w:val="none" w:sz="0" w:space="0" w:color="auto"/>
        <w:left w:val="none" w:sz="0" w:space="0" w:color="auto"/>
        <w:bottom w:val="none" w:sz="0" w:space="0" w:color="auto"/>
        <w:right w:val="none" w:sz="0" w:space="0" w:color="auto"/>
      </w:divBdr>
    </w:div>
    <w:div w:id="402530835">
      <w:bodyDiv w:val="1"/>
      <w:marLeft w:val="0"/>
      <w:marRight w:val="0"/>
      <w:marTop w:val="0"/>
      <w:marBottom w:val="0"/>
      <w:divBdr>
        <w:top w:val="none" w:sz="0" w:space="0" w:color="auto"/>
        <w:left w:val="none" w:sz="0" w:space="0" w:color="auto"/>
        <w:bottom w:val="none" w:sz="0" w:space="0" w:color="auto"/>
        <w:right w:val="none" w:sz="0" w:space="0" w:color="auto"/>
      </w:divBdr>
    </w:div>
    <w:div w:id="477915971">
      <w:bodyDiv w:val="1"/>
      <w:marLeft w:val="0"/>
      <w:marRight w:val="0"/>
      <w:marTop w:val="0"/>
      <w:marBottom w:val="0"/>
      <w:divBdr>
        <w:top w:val="none" w:sz="0" w:space="0" w:color="auto"/>
        <w:left w:val="none" w:sz="0" w:space="0" w:color="auto"/>
        <w:bottom w:val="none" w:sz="0" w:space="0" w:color="auto"/>
        <w:right w:val="none" w:sz="0" w:space="0" w:color="auto"/>
      </w:divBdr>
    </w:div>
    <w:div w:id="520165730">
      <w:bodyDiv w:val="1"/>
      <w:marLeft w:val="0"/>
      <w:marRight w:val="0"/>
      <w:marTop w:val="0"/>
      <w:marBottom w:val="0"/>
      <w:divBdr>
        <w:top w:val="none" w:sz="0" w:space="0" w:color="auto"/>
        <w:left w:val="none" w:sz="0" w:space="0" w:color="auto"/>
        <w:bottom w:val="none" w:sz="0" w:space="0" w:color="auto"/>
        <w:right w:val="none" w:sz="0" w:space="0" w:color="auto"/>
      </w:divBdr>
    </w:div>
    <w:div w:id="579339662">
      <w:bodyDiv w:val="1"/>
      <w:marLeft w:val="0"/>
      <w:marRight w:val="0"/>
      <w:marTop w:val="0"/>
      <w:marBottom w:val="0"/>
      <w:divBdr>
        <w:top w:val="none" w:sz="0" w:space="0" w:color="auto"/>
        <w:left w:val="none" w:sz="0" w:space="0" w:color="auto"/>
        <w:bottom w:val="none" w:sz="0" w:space="0" w:color="auto"/>
        <w:right w:val="none" w:sz="0" w:space="0" w:color="auto"/>
      </w:divBdr>
    </w:div>
    <w:div w:id="619604688">
      <w:bodyDiv w:val="1"/>
      <w:marLeft w:val="0"/>
      <w:marRight w:val="0"/>
      <w:marTop w:val="0"/>
      <w:marBottom w:val="0"/>
      <w:divBdr>
        <w:top w:val="none" w:sz="0" w:space="0" w:color="auto"/>
        <w:left w:val="none" w:sz="0" w:space="0" w:color="auto"/>
        <w:bottom w:val="none" w:sz="0" w:space="0" w:color="auto"/>
        <w:right w:val="none" w:sz="0" w:space="0" w:color="auto"/>
      </w:divBdr>
    </w:div>
    <w:div w:id="761219376">
      <w:bodyDiv w:val="1"/>
      <w:marLeft w:val="0"/>
      <w:marRight w:val="0"/>
      <w:marTop w:val="0"/>
      <w:marBottom w:val="0"/>
      <w:divBdr>
        <w:top w:val="none" w:sz="0" w:space="0" w:color="auto"/>
        <w:left w:val="none" w:sz="0" w:space="0" w:color="auto"/>
        <w:bottom w:val="none" w:sz="0" w:space="0" w:color="auto"/>
        <w:right w:val="none" w:sz="0" w:space="0" w:color="auto"/>
      </w:divBdr>
    </w:div>
    <w:div w:id="764497845">
      <w:bodyDiv w:val="1"/>
      <w:marLeft w:val="0"/>
      <w:marRight w:val="0"/>
      <w:marTop w:val="0"/>
      <w:marBottom w:val="0"/>
      <w:divBdr>
        <w:top w:val="none" w:sz="0" w:space="0" w:color="auto"/>
        <w:left w:val="none" w:sz="0" w:space="0" w:color="auto"/>
        <w:bottom w:val="none" w:sz="0" w:space="0" w:color="auto"/>
        <w:right w:val="none" w:sz="0" w:space="0" w:color="auto"/>
      </w:divBdr>
    </w:div>
    <w:div w:id="771243305">
      <w:bodyDiv w:val="1"/>
      <w:marLeft w:val="0"/>
      <w:marRight w:val="0"/>
      <w:marTop w:val="0"/>
      <w:marBottom w:val="0"/>
      <w:divBdr>
        <w:top w:val="none" w:sz="0" w:space="0" w:color="auto"/>
        <w:left w:val="none" w:sz="0" w:space="0" w:color="auto"/>
        <w:bottom w:val="none" w:sz="0" w:space="0" w:color="auto"/>
        <w:right w:val="none" w:sz="0" w:space="0" w:color="auto"/>
      </w:divBdr>
    </w:div>
    <w:div w:id="806823375">
      <w:bodyDiv w:val="1"/>
      <w:marLeft w:val="0"/>
      <w:marRight w:val="0"/>
      <w:marTop w:val="0"/>
      <w:marBottom w:val="0"/>
      <w:divBdr>
        <w:top w:val="none" w:sz="0" w:space="0" w:color="auto"/>
        <w:left w:val="none" w:sz="0" w:space="0" w:color="auto"/>
        <w:bottom w:val="none" w:sz="0" w:space="0" w:color="auto"/>
        <w:right w:val="none" w:sz="0" w:space="0" w:color="auto"/>
      </w:divBdr>
    </w:div>
    <w:div w:id="862478667">
      <w:bodyDiv w:val="1"/>
      <w:marLeft w:val="0"/>
      <w:marRight w:val="0"/>
      <w:marTop w:val="0"/>
      <w:marBottom w:val="0"/>
      <w:divBdr>
        <w:top w:val="none" w:sz="0" w:space="0" w:color="auto"/>
        <w:left w:val="none" w:sz="0" w:space="0" w:color="auto"/>
        <w:bottom w:val="none" w:sz="0" w:space="0" w:color="auto"/>
        <w:right w:val="none" w:sz="0" w:space="0" w:color="auto"/>
      </w:divBdr>
    </w:div>
    <w:div w:id="996375830">
      <w:bodyDiv w:val="1"/>
      <w:marLeft w:val="0"/>
      <w:marRight w:val="0"/>
      <w:marTop w:val="0"/>
      <w:marBottom w:val="0"/>
      <w:divBdr>
        <w:top w:val="none" w:sz="0" w:space="0" w:color="auto"/>
        <w:left w:val="none" w:sz="0" w:space="0" w:color="auto"/>
        <w:bottom w:val="none" w:sz="0" w:space="0" w:color="auto"/>
        <w:right w:val="none" w:sz="0" w:space="0" w:color="auto"/>
      </w:divBdr>
    </w:div>
    <w:div w:id="1160929744">
      <w:bodyDiv w:val="1"/>
      <w:marLeft w:val="0"/>
      <w:marRight w:val="0"/>
      <w:marTop w:val="0"/>
      <w:marBottom w:val="0"/>
      <w:divBdr>
        <w:top w:val="none" w:sz="0" w:space="0" w:color="auto"/>
        <w:left w:val="none" w:sz="0" w:space="0" w:color="auto"/>
        <w:bottom w:val="none" w:sz="0" w:space="0" w:color="auto"/>
        <w:right w:val="none" w:sz="0" w:space="0" w:color="auto"/>
      </w:divBdr>
    </w:div>
    <w:div w:id="1177768728">
      <w:bodyDiv w:val="1"/>
      <w:marLeft w:val="0"/>
      <w:marRight w:val="0"/>
      <w:marTop w:val="0"/>
      <w:marBottom w:val="0"/>
      <w:divBdr>
        <w:top w:val="none" w:sz="0" w:space="0" w:color="auto"/>
        <w:left w:val="none" w:sz="0" w:space="0" w:color="auto"/>
        <w:bottom w:val="none" w:sz="0" w:space="0" w:color="auto"/>
        <w:right w:val="none" w:sz="0" w:space="0" w:color="auto"/>
      </w:divBdr>
    </w:div>
    <w:div w:id="1478838954">
      <w:bodyDiv w:val="1"/>
      <w:marLeft w:val="0"/>
      <w:marRight w:val="0"/>
      <w:marTop w:val="0"/>
      <w:marBottom w:val="0"/>
      <w:divBdr>
        <w:top w:val="none" w:sz="0" w:space="0" w:color="auto"/>
        <w:left w:val="none" w:sz="0" w:space="0" w:color="auto"/>
        <w:bottom w:val="none" w:sz="0" w:space="0" w:color="auto"/>
        <w:right w:val="none" w:sz="0" w:space="0" w:color="auto"/>
      </w:divBdr>
    </w:div>
    <w:div w:id="1618415661">
      <w:bodyDiv w:val="1"/>
      <w:marLeft w:val="0"/>
      <w:marRight w:val="0"/>
      <w:marTop w:val="0"/>
      <w:marBottom w:val="0"/>
      <w:divBdr>
        <w:top w:val="none" w:sz="0" w:space="0" w:color="auto"/>
        <w:left w:val="none" w:sz="0" w:space="0" w:color="auto"/>
        <w:bottom w:val="none" w:sz="0" w:space="0" w:color="auto"/>
        <w:right w:val="none" w:sz="0" w:space="0" w:color="auto"/>
      </w:divBdr>
    </w:div>
    <w:div w:id="1643806233">
      <w:bodyDiv w:val="1"/>
      <w:marLeft w:val="0"/>
      <w:marRight w:val="0"/>
      <w:marTop w:val="0"/>
      <w:marBottom w:val="0"/>
      <w:divBdr>
        <w:top w:val="none" w:sz="0" w:space="0" w:color="auto"/>
        <w:left w:val="none" w:sz="0" w:space="0" w:color="auto"/>
        <w:bottom w:val="none" w:sz="0" w:space="0" w:color="auto"/>
        <w:right w:val="none" w:sz="0" w:space="0" w:color="auto"/>
      </w:divBdr>
    </w:div>
    <w:div w:id="1743530270">
      <w:bodyDiv w:val="1"/>
      <w:marLeft w:val="0"/>
      <w:marRight w:val="0"/>
      <w:marTop w:val="0"/>
      <w:marBottom w:val="0"/>
      <w:divBdr>
        <w:top w:val="none" w:sz="0" w:space="0" w:color="auto"/>
        <w:left w:val="none" w:sz="0" w:space="0" w:color="auto"/>
        <w:bottom w:val="none" w:sz="0" w:space="0" w:color="auto"/>
        <w:right w:val="none" w:sz="0" w:space="0" w:color="auto"/>
      </w:divBdr>
      <w:divsChild>
        <w:div w:id="168104355">
          <w:marLeft w:val="0"/>
          <w:marRight w:val="0"/>
          <w:marTop w:val="0"/>
          <w:marBottom w:val="0"/>
          <w:divBdr>
            <w:top w:val="none" w:sz="0" w:space="0" w:color="auto"/>
            <w:left w:val="none" w:sz="0" w:space="0" w:color="auto"/>
            <w:bottom w:val="none" w:sz="0" w:space="0" w:color="auto"/>
            <w:right w:val="none" w:sz="0" w:space="0" w:color="auto"/>
          </w:divBdr>
        </w:div>
        <w:div w:id="1741975919">
          <w:marLeft w:val="0"/>
          <w:marRight w:val="0"/>
          <w:marTop w:val="0"/>
          <w:marBottom w:val="0"/>
          <w:divBdr>
            <w:top w:val="none" w:sz="0" w:space="0" w:color="auto"/>
            <w:left w:val="none" w:sz="0" w:space="0" w:color="auto"/>
            <w:bottom w:val="none" w:sz="0" w:space="0" w:color="auto"/>
            <w:right w:val="none" w:sz="0" w:space="0" w:color="auto"/>
          </w:divBdr>
        </w:div>
      </w:divsChild>
    </w:div>
    <w:div w:id="1831210024">
      <w:bodyDiv w:val="1"/>
      <w:marLeft w:val="0"/>
      <w:marRight w:val="0"/>
      <w:marTop w:val="0"/>
      <w:marBottom w:val="0"/>
      <w:divBdr>
        <w:top w:val="none" w:sz="0" w:space="0" w:color="auto"/>
        <w:left w:val="none" w:sz="0" w:space="0" w:color="auto"/>
        <w:bottom w:val="none" w:sz="0" w:space="0" w:color="auto"/>
        <w:right w:val="none" w:sz="0" w:space="0" w:color="auto"/>
      </w:divBdr>
    </w:div>
    <w:div w:id="1855915927">
      <w:bodyDiv w:val="1"/>
      <w:marLeft w:val="0"/>
      <w:marRight w:val="0"/>
      <w:marTop w:val="0"/>
      <w:marBottom w:val="0"/>
      <w:divBdr>
        <w:top w:val="none" w:sz="0" w:space="0" w:color="auto"/>
        <w:left w:val="none" w:sz="0" w:space="0" w:color="auto"/>
        <w:bottom w:val="none" w:sz="0" w:space="0" w:color="auto"/>
        <w:right w:val="none" w:sz="0" w:space="0" w:color="auto"/>
      </w:divBdr>
    </w:div>
    <w:div w:id="1898781536">
      <w:bodyDiv w:val="1"/>
      <w:marLeft w:val="0"/>
      <w:marRight w:val="0"/>
      <w:marTop w:val="0"/>
      <w:marBottom w:val="0"/>
      <w:divBdr>
        <w:top w:val="none" w:sz="0" w:space="0" w:color="auto"/>
        <w:left w:val="none" w:sz="0" w:space="0" w:color="auto"/>
        <w:bottom w:val="none" w:sz="0" w:space="0" w:color="auto"/>
        <w:right w:val="none" w:sz="0" w:space="0" w:color="auto"/>
      </w:divBdr>
    </w:div>
    <w:div w:id="2036996622">
      <w:bodyDiv w:val="1"/>
      <w:marLeft w:val="0"/>
      <w:marRight w:val="0"/>
      <w:marTop w:val="0"/>
      <w:marBottom w:val="0"/>
      <w:divBdr>
        <w:top w:val="none" w:sz="0" w:space="0" w:color="auto"/>
        <w:left w:val="none" w:sz="0" w:space="0" w:color="auto"/>
        <w:bottom w:val="none" w:sz="0" w:space="0" w:color="auto"/>
        <w:right w:val="none" w:sz="0" w:space="0" w:color="auto"/>
      </w:divBdr>
    </w:div>
    <w:div w:id="21444934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docs.live.net/5c192a6a721c94d3/Documents/1%20APTN/2020%20Conversion%20Therapy/2nd%20draft/APTN%20Regional%20Conversion%20Therapy%20Practices%20report_final%20draft.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australianhrc-my.sharepoint.com/personal/fasohaaishath_asiapacificforum_net/Documents/Admin/APF%20Templates/Fact%20Sheets/30865_APF_Fact_Sheet_Template..dotx" TargetMode="External"/></Relationships>
</file>

<file path=word/theme/theme1.xml><?xml version="1.0" encoding="utf-8"?>
<a:theme xmlns:a="http://schemas.openxmlformats.org/drawingml/2006/main" name="Office Theme">
  <a:themeElements>
    <a:clrScheme name="Asia Pacific Forum">
      <a:dk1>
        <a:sysClr val="windowText" lastClr="000000"/>
      </a:dk1>
      <a:lt1>
        <a:sysClr val="window" lastClr="FFFFFF"/>
      </a:lt1>
      <a:dk2>
        <a:srgbClr val="0081C6"/>
      </a:dk2>
      <a:lt2>
        <a:srgbClr val="E6E7E8"/>
      </a:lt2>
      <a:accent1>
        <a:srgbClr val="E0F0FB"/>
      </a:accent1>
      <a:accent2>
        <a:srgbClr val="C5E4F7"/>
      </a:accent2>
      <a:accent3>
        <a:srgbClr val="A9D8F4"/>
      </a:accent3>
      <a:accent4>
        <a:srgbClr val="8CCEF1"/>
      </a:accent4>
      <a:accent5>
        <a:srgbClr val="6CC4EE"/>
      </a:accent5>
      <a:accent6>
        <a:srgbClr val="13B5E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4C821-89A4-484B-B759-9B646CEC3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30865_APF_Fact_Sheet_Template..dotx</Template>
  <TotalTime>38</TotalTime>
  <Pages>6</Pages>
  <Words>2008</Words>
  <Characters>11450</Characters>
  <Application>Microsoft Office Word</Application>
  <DocSecurity>0</DocSecurity>
  <Lines>95</Lines>
  <Paragraphs>26</Paragraphs>
  <ScaleCrop>false</ScaleCrop>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Fasoha Aishath</cp:lastModifiedBy>
  <cp:revision>41</cp:revision>
  <cp:lastPrinted>2021-06-08T03:05:00Z</cp:lastPrinted>
  <dcterms:created xsi:type="dcterms:W3CDTF">2021-11-08T23:13:00Z</dcterms:created>
  <dcterms:modified xsi:type="dcterms:W3CDTF">2021-11-09T00:46:00Z</dcterms:modified>
</cp:coreProperties>
</file>