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09DF" w14:textId="77777777" w:rsidR="00DD6D63" w:rsidRDefault="00656C1C" w:rsidP="002F5AFB">
      <w:pPr>
        <w:pStyle w:val="Spacer-Cover"/>
      </w:pPr>
      <w:r>
        <mc:AlternateContent>
          <mc:Choice Requires="wpg">
            <w:drawing>
              <wp:anchor distT="0" distB="0" distL="114300" distR="114300" simplePos="0" relativeHeight="251658245" behindDoc="0" locked="1" layoutInCell="1" allowOverlap="1" wp14:anchorId="7F00623F" wp14:editId="4CC6071E">
                <wp:simplePos x="0" y="0"/>
                <wp:positionH relativeFrom="page">
                  <wp:align>left</wp:align>
                </wp:positionH>
                <wp:positionV relativeFrom="page">
                  <wp:align>top</wp:align>
                </wp:positionV>
                <wp:extent cx="2451600" cy="2282400"/>
                <wp:effectExtent l="0" t="0" r="6350" b="3810"/>
                <wp:wrapNone/>
                <wp:docPr id="13" name="Graphic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51600" cy="2282400"/>
                          <a:chOff x="0" y="0"/>
                          <a:chExt cx="3837908" cy="3576550"/>
                        </a:xfrm>
                      </wpg:grpSpPr>
                      <wps:wsp>
                        <wps:cNvPr id="14" name="Graphic 12"/>
                        <wps:cNvSpPr/>
                        <wps:spPr>
                          <a:xfrm>
                            <a:off x="0" y="0"/>
                            <a:ext cx="3837908" cy="3576550"/>
                          </a:xfrm>
                          <a:custGeom>
                            <a:avLst/>
                            <a:gdLst>
                              <a:gd name="connsiteX0" fmla="*/ 3837908 w 3837908"/>
                              <a:gd name="connsiteY0" fmla="*/ 0 h 3576550"/>
                              <a:gd name="connsiteX1" fmla="*/ 3730943 w 3837908"/>
                              <a:gd name="connsiteY1" fmla="*/ 0 h 3576550"/>
                              <a:gd name="connsiteX2" fmla="*/ 89726 w 3837908"/>
                              <a:gd name="connsiteY2" fmla="*/ 3143917 h 3576550"/>
                              <a:gd name="connsiteX3" fmla="*/ 0 w 3837908"/>
                              <a:gd name="connsiteY3" fmla="*/ 3142964 h 3576550"/>
                              <a:gd name="connsiteX4" fmla="*/ 0 w 3837908"/>
                              <a:gd name="connsiteY4" fmla="*/ 3575590 h 3576550"/>
                              <a:gd name="connsiteX5" fmla="*/ 89821 w 3837908"/>
                              <a:gd name="connsiteY5" fmla="*/ 3576542 h 3576550"/>
                              <a:gd name="connsiteX6" fmla="*/ 3837908 w 3837908"/>
                              <a:gd name="connsiteY6" fmla="*/ 0 h 3576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37908" h="3576550">
                                <a:moveTo>
                                  <a:pt x="3837908" y="0"/>
                                </a:moveTo>
                                <a:lnTo>
                                  <a:pt x="3730943" y="0"/>
                                </a:lnTo>
                                <a:cubicBezTo>
                                  <a:pt x="3545205" y="1831372"/>
                                  <a:pt x="1986343" y="3143250"/>
                                  <a:pt x="89726" y="3143917"/>
                                </a:cubicBezTo>
                                <a:cubicBezTo>
                                  <a:pt x="59690" y="3143917"/>
                                  <a:pt x="29782" y="3143599"/>
                                  <a:pt x="0" y="3142964"/>
                                </a:cubicBezTo>
                                <a:lnTo>
                                  <a:pt x="0" y="3575590"/>
                                </a:lnTo>
                                <a:cubicBezTo>
                                  <a:pt x="29909" y="3576289"/>
                                  <a:pt x="59849" y="3576606"/>
                                  <a:pt x="89821" y="3576542"/>
                                </a:cubicBezTo>
                                <a:cubicBezTo>
                                  <a:pt x="2125790" y="3575876"/>
                                  <a:pt x="3782282" y="2019967"/>
                                  <a:pt x="3837908" y="0"/>
                                </a:cubicBezTo>
                                <a:close/>
                              </a:path>
                            </a:pathLst>
                          </a:custGeom>
                          <a:gradFill flip="none" rotWithShape="1">
                            <a:gsLst>
                              <a:gs pos="0">
                                <a:schemeClr val="accent6"/>
                              </a:gs>
                              <a:gs pos="100000">
                                <a:schemeClr val="accent6">
                                  <a:alpha val="30000"/>
                                </a:schemeClr>
                              </a:gs>
                            </a:gsLst>
                            <a:lin ang="2766000" scaled="0"/>
                            <a:tileRect/>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Graphic 12"/>
                        <wps:cNvSpPr/>
                        <wps:spPr>
                          <a:xfrm>
                            <a:off x="3269932" y="0"/>
                            <a:ext cx="123920" cy="748855"/>
                          </a:xfrm>
                          <a:custGeom>
                            <a:avLst/>
                            <a:gdLst>
                              <a:gd name="connsiteX0" fmla="*/ 123920 w 123920"/>
                              <a:gd name="connsiteY0" fmla="*/ 0 h 748855"/>
                              <a:gd name="connsiteX1" fmla="*/ 56388 w 123920"/>
                              <a:gd name="connsiteY1" fmla="*/ 0 h 748855"/>
                              <a:gd name="connsiteX2" fmla="*/ 58864 w 123920"/>
                              <a:gd name="connsiteY2" fmla="*/ 123158 h 748855"/>
                              <a:gd name="connsiteX3" fmla="*/ 0 w 123920"/>
                              <a:gd name="connsiteY3" fmla="*/ 748856 h 748855"/>
                              <a:gd name="connsiteX4" fmla="*/ 123920 w 123920"/>
                              <a:gd name="connsiteY4" fmla="*/ 0 h 7488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920" h="748855">
                                <a:moveTo>
                                  <a:pt x="123920" y="0"/>
                                </a:moveTo>
                                <a:lnTo>
                                  <a:pt x="56388" y="0"/>
                                </a:lnTo>
                                <a:cubicBezTo>
                                  <a:pt x="57912" y="40862"/>
                                  <a:pt x="58864" y="81915"/>
                                  <a:pt x="58864" y="123158"/>
                                </a:cubicBezTo>
                                <a:cubicBezTo>
                                  <a:pt x="58888" y="333108"/>
                                  <a:pt x="39180" y="542594"/>
                                  <a:pt x="0" y="748856"/>
                                </a:cubicBezTo>
                                <a:cubicBezTo>
                                  <a:pt x="69909" y="504820"/>
                                  <a:pt x="111490" y="253547"/>
                                  <a:pt x="123920" y="0"/>
                                </a:cubicBezTo>
                                <a:close/>
                              </a:path>
                            </a:pathLst>
                          </a:custGeom>
                          <a:gradFill>
                            <a:gsLst>
                              <a:gs pos="0">
                                <a:schemeClr val="tx2"/>
                              </a:gs>
                              <a:gs pos="100000">
                                <a:schemeClr val="tx2">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Graphic 12"/>
                        <wps:cNvSpPr/>
                        <wps:spPr>
                          <a:xfrm>
                            <a:off x="0" y="0"/>
                            <a:ext cx="2996469" cy="3143916"/>
                          </a:xfrm>
                          <a:custGeom>
                            <a:avLst/>
                            <a:gdLst>
                              <a:gd name="connsiteX0" fmla="*/ 2793302 w 2996469"/>
                              <a:gd name="connsiteY0" fmla="*/ 16288 h 3143916"/>
                              <a:gd name="connsiteX1" fmla="*/ 89726 w 2996469"/>
                              <a:gd name="connsiteY1" fmla="*/ 2834545 h 3143916"/>
                              <a:gd name="connsiteX2" fmla="*/ 0 w 2996469"/>
                              <a:gd name="connsiteY2" fmla="*/ 2832735 h 3143916"/>
                              <a:gd name="connsiteX3" fmla="*/ 0 w 2996469"/>
                              <a:gd name="connsiteY3" fmla="*/ 3142488 h 3143916"/>
                              <a:gd name="connsiteX4" fmla="*/ 89726 w 2996469"/>
                              <a:gd name="connsiteY4" fmla="*/ 3143917 h 3143916"/>
                              <a:gd name="connsiteX5" fmla="*/ 2996470 w 2996469"/>
                              <a:gd name="connsiteY5" fmla="*/ 220980 h 3143916"/>
                              <a:gd name="connsiteX6" fmla="*/ 2988183 w 2996469"/>
                              <a:gd name="connsiteY6" fmla="*/ 0 h 3143916"/>
                              <a:gd name="connsiteX7" fmla="*/ 2793111 w 2996469"/>
                              <a:gd name="connsiteY7" fmla="*/ 0 h 3143916"/>
                              <a:gd name="connsiteX8" fmla="*/ 2793302 w 2996469"/>
                              <a:gd name="connsiteY8" fmla="*/ 16288 h 3143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96469" h="3143916">
                                <a:moveTo>
                                  <a:pt x="2793302" y="16288"/>
                                </a:moveTo>
                                <a:cubicBezTo>
                                  <a:pt x="2793968" y="1510189"/>
                                  <a:pt x="1583627" y="2833878"/>
                                  <a:pt x="89726" y="2834545"/>
                                </a:cubicBezTo>
                                <a:cubicBezTo>
                                  <a:pt x="59722" y="2834545"/>
                                  <a:pt x="29813" y="2833783"/>
                                  <a:pt x="0" y="2832735"/>
                                </a:cubicBezTo>
                                <a:lnTo>
                                  <a:pt x="0" y="3142488"/>
                                </a:lnTo>
                                <a:cubicBezTo>
                                  <a:pt x="29813" y="3143345"/>
                                  <a:pt x="59722" y="3143917"/>
                                  <a:pt x="89726" y="3143917"/>
                                </a:cubicBezTo>
                                <a:cubicBezTo>
                                  <a:pt x="1695450" y="3143250"/>
                                  <a:pt x="2997137" y="1826705"/>
                                  <a:pt x="2996470" y="220980"/>
                                </a:cubicBezTo>
                                <a:cubicBezTo>
                                  <a:pt x="2996470" y="146495"/>
                                  <a:pt x="2993708" y="72835"/>
                                  <a:pt x="2988183" y="0"/>
                                </a:cubicBezTo>
                                <a:lnTo>
                                  <a:pt x="2793111" y="0"/>
                                </a:lnTo>
                                <a:cubicBezTo>
                                  <a:pt x="2793111" y="5429"/>
                                  <a:pt x="2793302" y="10859"/>
                                  <a:pt x="2793302" y="16288"/>
                                </a:cubicBezTo>
                                <a:close/>
                              </a:path>
                            </a:pathLst>
                          </a:custGeom>
                          <a:gradFill>
                            <a:gsLst>
                              <a:gs pos="0">
                                <a:schemeClr val="accent6"/>
                              </a:gs>
                              <a:gs pos="100000">
                                <a:schemeClr val="accent6">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group id="Graphic 12" style="position:absolute;margin-left:0;margin-top:0;width:193.05pt;height:179.7pt;z-index:251658245;mso-position-horizontal:left;mso-position-horizontal-relative:page;mso-position-vertical:top;mso-position-vertical-relative:page;mso-width-relative:margin;mso-height-relative:margin" coordsize="38379,35765" o:spid="_x0000_s1026" w14:anchorId="09060A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">
                <o:lock v:ext="edit" aspectratio="t"/>
                <v:shape id="_x0000_s1027" style="position:absolute;width:38379;height:35765;visibility:visible;mso-wrap-style:square;v-text-anchor:middle" coordsize="3837908,3576550" fillcolor="#13b5ea [3209]" stroked="f" path="m3837908,l3730943,c3545205,1831372,1986343,3143250,89726,3143917v-30036,,-59944,-318,-89726,-953l,3575590v29909,699,59849,1016,89821,952c2125790,3575876,3782282,2019967,383790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">
                  <v:fill type="gradient" color2="#13b5ea [3209]" angle="44" focus="100%" o:opacity2="19660f" rotate="t">
                    <o:fill v:ext="view" type="gradientUnscaled"/>
                  </v:fill>
                  <v:stroke joinstyle="miter"/>
                  <v:path arrowok="t" o:connecttype="custom" o:connectlocs="3837908,0;3730943,0;89726,3143917;0,3142964;0,3575590;89821,3576542;3837908,0" o:connectangles="0,0,0,0,0,0,0"/>
                </v:shape>
                <v:shape id="_x0000_s1028" style="position:absolute;left:32699;width:1239;height:7488;visibility:visible;mso-wrap-style:square;v-text-anchor:middle" coordsize="123920,748855" fillcolor="#0081c6 [3215]" stroked="f" path="m123920,l56388,v1524,40862,2476,81915,2476,123158c58888,333108,39180,542594,,748856,69909,504820,111490,253547,12392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">
                  <v:fill type="gradient" color2="#0081c6 [3215]" angle="44" focus="100%" o:opacity2="19660f">
                    <o:fill v:ext="view" type="gradientUnscaled"/>
                  </v:fill>
                  <v:stroke joinstyle="miter"/>
                  <v:path arrowok="t" o:connecttype="custom" o:connectlocs="123920,0;56388,0;58864,123158;0,748856;123920,0" o:connectangles="0,0,0,0,0"/>
                </v:shape>
                <v:shape id="_x0000_s1029" style="position:absolute;width:29964;height:31439;visibility:visible;mso-wrap-style:square;v-text-anchor:middle" coordsize="2996469,3143916" fillcolor="#13b5ea [3209]" stroked="f" path="m2793302,16288c2793968,1510189,1583627,2833878,89726,2834545v-30004,,-59913,-762,-89726,-1810l,3142488v29813,857,59722,1429,89726,1429c1695450,3143250,2997137,1826705,2996470,220980v,-74485,-2762,-148145,-8287,-220980l2793111,v,5429,191,10859,191,1628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">
                  <v:fill type="gradient" color2="#13b5ea [3209]" angle="44" focus="100%" o:opacity2="19660f">
                    <o:fill v:ext="view" type="gradientUnscaled"/>
                  </v:fill>
                  <v:stroke joinstyle="miter"/>
                  <v:path arrowok="t" o:connecttype="custom" o:connectlocs="2793302,16288;89726,2834545;0,2832735;0,3142488;89726,3143917;2996470,220980;2988183,0;2793111,0;2793302,16288" o:connectangles="0,0,0,0,0,0,0,0,0"/>
                </v:shape>
                <w10:wrap anchorx="page" anchory="page"/>
                <w10:anchorlock/>
              </v:group>
            </w:pict>
          </mc:Fallback>
        </mc:AlternateContent>
      </w:r>
      <w:r w:rsidR="003E773D">
        <w:drawing>
          <wp:anchor distT="0" distB="0" distL="114300" distR="114300" simplePos="0" relativeHeight="251658244" behindDoc="0" locked="1" layoutInCell="1" allowOverlap="1" wp14:anchorId="640BEA08" wp14:editId="381E1078">
            <wp:simplePos x="0" y="0"/>
            <wp:positionH relativeFrom="page">
              <wp:posOffset>3960495</wp:posOffset>
            </wp:positionH>
            <wp:positionV relativeFrom="page">
              <wp:posOffset>450215</wp:posOffset>
            </wp:positionV>
            <wp:extent cx="2700000" cy="691200"/>
            <wp:effectExtent l="0" t="0" r="571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00000" cy="691200"/>
                    </a:xfrm>
                    <a:prstGeom prst="rect">
                      <a:avLst/>
                    </a:prstGeom>
                  </pic:spPr>
                </pic:pic>
              </a:graphicData>
            </a:graphic>
            <wp14:sizeRelH relativeFrom="margin">
              <wp14:pctWidth>0</wp14:pctWidth>
            </wp14:sizeRelH>
            <wp14:sizeRelV relativeFrom="margin">
              <wp14:pctHeight>0</wp14:pctHeight>
            </wp14:sizeRelV>
          </wp:anchor>
        </w:drawing>
      </w:r>
      <w:r w:rsidR="003E773D">
        <w:drawing>
          <wp:anchor distT="0" distB="0" distL="114300" distR="114300" simplePos="0" relativeHeight="251658243" behindDoc="1" locked="1" layoutInCell="1" allowOverlap="1" wp14:anchorId="746AA415" wp14:editId="3A25A753">
            <wp:simplePos x="0" y="0"/>
            <wp:positionH relativeFrom="page">
              <wp:align>right</wp:align>
            </wp:positionH>
            <wp:positionV relativeFrom="page">
              <wp:align>top</wp:align>
            </wp:positionV>
            <wp:extent cx="4831200" cy="1987200"/>
            <wp:effectExtent l="0" t="0" r="762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31200" cy="1987200"/>
                    </a:xfrm>
                    <a:prstGeom prst="rect">
                      <a:avLst/>
                    </a:prstGeom>
                  </pic:spPr>
                </pic:pic>
              </a:graphicData>
            </a:graphic>
            <wp14:sizeRelH relativeFrom="margin">
              <wp14:pctWidth>0</wp14:pctWidth>
            </wp14:sizeRelH>
            <wp14:sizeRelV relativeFrom="margin">
              <wp14:pctHeight>0</wp14:pctHeight>
            </wp14:sizeRelV>
          </wp:anchor>
        </w:drawing>
      </w:r>
    </w:p>
    <w:p w14:paraId="39D59923" w14:textId="36865B6F" w:rsidR="00490A46" w:rsidRPr="00A463FC" w:rsidRDefault="6D770049" w:rsidP="008C61B1">
      <w:pPr>
        <w:pStyle w:val="Subtitle"/>
        <w:rPr>
          <w:rFonts w:asciiTheme="majorHAnsi" w:hAnsiTheme="majorHAnsi" w:cstheme="majorHAnsi"/>
        </w:rPr>
      </w:pPr>
      <w:r w:rsidRPr="00A463FC">
        <w:rPr>
          <w:rFonts w:asciiTheme="majorHAnsi" w:hAnsiTheme="majorHAnsi" w:cstheme="majorHAnsi"/>
        </w:rPr>
        <w:t>SOGIESC</w:t>
      </w:r>
      <w:r w:rsidR="00490A46" w:rsidRPr="00A463FC">
        <w:rPr>
          <w:rFonts w:asciiTheme="majorHAnsi" w:hAnsiTheme="majorHAnsi" w:cstheme="majorHAnsi"/>
        </w:rPr>
        <w:t xml:space="preserve"> Fact Sheet Series</w:t>
      </w:r>
    </w:p>
    <w:p w14:paraId="5260A77C" w14:textId="65964CEA" w:rsidR="00490A46" w:rsidRPr="00A463FC" w:rsidRDefault="00490A46" w:rsidP="00DD6D63">
      <w:pPr>
        <w:pStyle w:val="Title"/>
        <w:rPr>
          <w:rFonts w:asciiTheme="majorHAnsi" w:hAnsiTheme="majorHAnsi" w:cstheme="majorHAnsi"/>
        </w:rPr>
      </w:pPr>
      <w:r w:rsidRPr="00A463FC">
        <w:rPr>
          <w:rFonts w:asciiTheme="majorHAnsi" w:hAnsiTheme="majorHAnsi" w:cstheme="majorHAnsi"/>
        </w:rPr>
        <w:t xml:space="preserve">Fact Sheet </w:t>
      </w:r>
      <w:r w:rsidR="00460937">
        <w:rPr>
          <w:rFonts w:asciiTheme="majorHAnsi" w:hAnsiTheme="majorHAnsi" w:cstheme="majorHAnsi"/>
        </w:rPr>
        <w:t>5</w:t>
      </w:r>
      <w:r w:rsidRPr="00A463FC">
        <w:rPr>
          <w:rFonts w:asciiTheme="majorHAnsi" w:hAnsiTheme="majorHAnsi" w:cstheme="majorHAnsi"/>
        </w:rPr>
        <w:t xml:space="preserve">: </w:t>
      </w:r>
      <w:r w:rsidRPr="00A463FC">
        <w:rPr>
          <w:rFonts w:asciiTheme="majorHAnsi" w:hAnsiTheme="majorHAnsi" w:cstheme="majorHAnsi"/>
        </w:rPr>
        <w:br/>
      </w:r>
      <w:r w:rsidR="00AE577C">
        <w:rPr>
          <w:rFonts w:asciiTheme="majorHAnsi" w:hAnsiTheme="majorHAnsi" w:cstheme="majorHAnsi"/>
        </w:rPr>
        <w:t>International and regional developments in human rights law</w:t>
      </w:r>
    </w:p>
    <w:p w14:paraId="76F1FCBC" w14:textId="3A8C5063" w:rsidR="00E10AA0" w:rsidRPr="00A463FC" w:rsidRDefault="0042327D" w:rsidP="00164F1B">
      <w:pPr>
        <w:pStyle w:val="Heading1"/>
        <w:rPr>
          <w:rFonts w:asciiTheme="majorHAnsi" w:hAnsiTheme="majorHAnsi" w:cstheme="majorHAnsi"/>
        </w:rPr>
      </w:pPr>
      <w:r w:rsidRPr="00A463FC">
        <w:rPr>
          <w:rFonts w:asciiTheme="majorHAnsi" w:hAnsiTheme="majorHAnsi" w:cstheme="majorHAnsi"/>
        </w:rPr>
        <w:t>Introduction</w:t>
      </w:r>
      <w:r w:rsidR="00A4602B">
        <w:rPr>
          <w:rFonts w:asciiTheme="majorHAnsi" w:hAnsiTheme="majorHAnsi" w:cstheme="majorHAnsi"/>
        </w:rPr>
        <w:t>: the universality of all human rights</w:t>
      </w:r>
    </w:p>
    <w:p w14:paraId="25350BE8" w14:textId="77777777" w:rsidR="00C2593A" w:rsidRPr="00C2593A" w:rsidRDefault="00C2593A" w:rsidP="00C2593A">
      <w:pPr>
        <w:pStyle w:val="paragraph"/>
        <w:shd w:val="clear" w:color="auto" w:fill="E6E7E8"/>
        <w:ind w:left="135" w:right="135"/>
        <w:jc w:val="center"/>
        <w:textAlignment w:val="baseline"/>
        <w:rPr>
          <w:rFonts w:ascii="Arial" w:hAnsi="Arial" w:cs="Arial"/>
          <w:b/>
          <w:bCs/>
          <w:i/>
          <w:iCs/>
          <w:color w:val="0081C6"/>
          <w:sz w:val="22"/>
          <w:szCs w:val="22"/>
        </w:rPr>
      </w:pPr>
      <w:r w:rsidRPr="00C2593A">
        <w:rPr>
          <w:rFonts w:ascii="Arial" w:hAnsi="Arial" w:cs="Arial"/>
          <w:b/>
          <w:bCs/>
          <w:i/>
          <w:iCs/>
          <w:color w:val="0081C6"/>
          <w:sz w:val="22"/>
          <w:szCs w:val="22"/>
        </w:rPr>
        <w:t>“All human beings are born free and equal in dignity and rights”.</w:t>
      </w:r>
    </w:p>
    <w:p w14:paraId="7A729408" w14:textId="7F169194" w:rsidR="005B6A7C" w:rsidRPr="00BC57D5" w:rsidRDefault="00C2593A" w:rsidP="00C2593A">
      <w:pPr>
        <w:pStyle w:val="paragraph"/>
        <w:shd w:val="clear" w:color="auto" w:fill="E6E7E8"/>
        <w:spacing w:before="0" w:beforeAutospacing="0" w:after="0" w:afterAutospacing="0"/>
        <w:ind w:left="135" w:right="135"/>
        <w:jc w:val="center"/>
        <w:textAlignment w:val="baseline"/>
        <w:rPr>
          <w:rFonts w:ascii="Arial" w:hAnsi="Arial" w:cs="Arial"/>
          <w:b/>
          <w:bCs/>
          <w:i/>
          <w:iCs/>
          <w:color w:val="0081C6"/>
          <w:sz w:val="22"/>
          <w:szCs w:val="22"/>
        </w:rPr>
      </w:pPr>
      <w:r w:rsidRPr="00C2593A">
        <w:rPr>
          <w:rFonts w:ascii="Arial" w:hAnsi="Arial" w:cs="Arial"/>
          <w:b/>
          <w:bCs/>
          <w:i/>
          <w:iCs/>
          <w:color w:val="0081C6"/>
          <w:sz w:val="22"/>
          <w:szCs w:val="22"/>
        </w:rPr>
        <w:tab/>
        <w:t>Article 1, Universal Declaration of Human Rights, 1948</w:t>
      </w:r>
    </w:p>
    <w:p w14:paraId="18A5F95C" w14:textId="77777777" w:rsidR="005B6A7C" w:rsidRDefault="005B6A7C" w:rsidP="005B6A7C">
      <w:pPr>
        <w:rPr>
          <w:rFonts w:ascii="Arial" w:hAnsi="Arial" w:cs="Arial"/>
          <w:b/>
          <w:bCs/>
          <w:i/>
          <w:iCs/>
          <w:color w:val="0081C6"/>
          <w:sz w:val="19"/>
          <w:szCs w:val="19"/>
          <w:shd w:val="clear" w:color="auto" w:fill="E6E7E8"/>
        </w:rPr>
      </w:pPr>
    </w:p>
    <w:p w14:paraId="40690076" w14:textId="77777777" w:rsidR="00BB5E45" w:rsidRPr="00BB5E45" w:rsidRDefault="00BB5E45" w:rsidP="00BB5E45">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Human rights are: </w:t>
      </w:r>
    </w:p>
    <w:p w14:paraId="174377DA" w14:textId="77777777" w:rsidR="00BB5E45" w:rsidRPr="00BB5E45" w:rsidRDefault="00BB5E45" w:rsidP="00BB5E45">
      <w:pPr>
        <w:pStyle w:val="NormalWeb"/>
        <w:numPr>
          <w:ilvl w:val="0"/>
          <w:numId w:val="10"/>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fundamental or foundational, going to the heart of human personhood </w:t>
      </w:r>
    </w:p>
    <w:p w14:paraId="12599687" w14:textId="77777777" w:rsidR="00BB5E45" w:rsidRPr="00BB5E45" w:rsidRDefault="00BB5E45" w:rsidP="00BB5E45">
      <w:pPr>
        <w:pStyle w:val="NormalWeb"/>
        <w:numPr>
          <w:ilvl w:val="0"/>
          <w:numId w:val="10"/>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 xml:space="preserve">entitlements, not mere </w:t>
      </w:r>
      <w:proofErr w:type="gramStart"/>
      <w:r w:rsidRPr="00BB5E45">
        <w:rPr>
          <w:rFonts w:asciiTheme="minorHAnsi" w:hAnsiTheme="minorHAnsi" w:cstheme="minorHAnsi"/>
          <w:color w:val="000000"/>
          <w:sz w:val="20"/>
          <w:szCs w:val="20"/>
        </w:rPr>
        <w:t>claims</w:t>
      </w:r>
      <w:proofErr w:type="gramEnd"/>
      <w:r w:rsidRPr="00BB5E45">
        <w:rPr>
          <w:rFonts w:asciiTheme="minorHAnsi" w:hAnsiTheme="minorHAnsi" w:cstheme="minorHAnsi"/>
          <w:color w:val="000000"/>
          <w:sz w:val="20"/>
          <w:szCs w:val="20"/>
        </w:rPr>
        <w:t xml:space="preserve"> or requests </w:t>
      </w:r>
    </w:p>
    <w:p w14:paraId="5068D183" w14:textId="0CD2D16C" w:rsidR="00BB5E45" w:rsidRPr="00C828DB" w:rsidRDefault="00BB5E45" w:rsidP="00BB5E45">
      <w:pPr>
        <w:pStyle w:val="NormalWeb"/>
        <w:numPr>
          <w:ilvl w:val="0"/>
          <w:numId w:val="10"/>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applicable to every human being. </w:t>
      </w:r>
    </w:p>
    <w:p w14:paraId="3D6BA29F" w14:textId="74DAE1B5" w:rsidR="00BB5E45" w:rsidRPr="00BB5E45" w:rsidRDefault="00BB5E45" w:rsidP="00BB5E45">
      <w:pPr>
        <w:pStyle w:val="NormalWeb"/>
        <w:spacing w:before="240" w:beforeAutospacing="0" w:after="120" w:afterAutospacing="0"/>
        <w:jc w:val="both"/>
        <w:rPr>
          <w:rFonts w:asciiTheme="minorHAnsi" w:hAnsiTheme="minorHAnsi" w:cstheme="minorHAnsi"/>
          <w:sz w:val="20"/>
          <w:szCs w:val="20"/>
        </w:rPr>
      </w:pPr>
      <w:proofErr w:type="gramStart"/>
      <w:r w:rsidRPr="00BB5E45">
        <w:rPr>
          <w:rFonts w:asciiTheme="minorHAnsi" w:hAnsiTheme="minorHAnsi" w:cstheme="minorHAnsi"/>
          <w:color w:val="000000"/>
          <w:sz w:val="20"/>
          <w:szCs w:val="20"/>
        </w:rPr>
        <w:t>By definition, human</w:t>
      </w:r>
      <w:proofErr w:type="gramEnd"/>
      <w:r w:rsidRPr="00BB5E45">
        <w:rPr>
          <w:rFonts w:asciiTheme="minorHAnsi" w:hAnsiTheme="minorHAnsi" w:cstheme="minorHAnsi"/>
          <w:color w:val="000000"/>
          <w:sz w:val="20"/>
          <w:szCs w:val="20"/>
        </w:rPr>
        <w:t xml:space="preserve"> rights are universal. They are the rights of all people, in all places, </w:t>
      </w:r>
      <w:proofErr w:type="gramStart"/>
      <w:r w:rsidRPr="00BB5E45">
        <w:rPr>
          <w:rFonts w:asciiTheme="minorHAnsi" w:hAnsiTheme="minorHAnsi" w:cstheme="minorHAnsi"/>
          <w:color w:val="000000"/>
          <w:sz w:val="20"/>
          <w:szCs w:val="20"/>
        </w:rPr>
        <w:t>at all times</w:t>
      </w:r>
      <w:proofErr w:type="gramEnd"/>
      <w:r w:rsidRPr="00BB5E45">
        <w:rPr>
          <w:rFonts w:asciiTheme="minorHAnsi" w:hAnsiTheme="minorHAnsi" w:cstheme="minorHAnsi"/>
          <w:color w:val="000000"/>
          <w:sz w:val="20"/>
          <w:szCs w:val="20"/>
        </w:rPr>
        <w:t>. Everyone is entitled to human rights (whatever their sexual orientation, gender identity or expression, or sex characteristics) because they are human beings.</w:t>
      </w:r>
    </w:p>
    <w:p w14:paraId="7863438D" w14:textId="0440A342" w:rsidR="00BB5E45" w:rsidRPr="00BB5E45" w:rsidRDefault="00BB5E45" w:rsidP="00BB5E45">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 xml:space="preserve">It does not matter that there is no specific reference to the categories of sexual orientation, gender identity, gender expression or sex characteristics in the </w:t>
      </w:r>
      <w:proofErr w:type="spellStart"/>
      <w:r w:rsidRPr="00BB5E45">
        <w:rPr>
          <w:rFonts w:asciiTheme="minorHAnsi" w:hAnsiTheme="minorHAnsi" w:cstheme="minorHAnsi"/>
          <w:color w:val="000000"/>
          <w:sz w:val="20"/>
          <w:szCs w:val="20"/>
        </w:rPr>
        <w:t>the</w:t>
      </w:r>
      <w:proofErr w:type="spellEnd"/>
      <w:r w:rsidRPr="00BB5E45">
        <w:rPr>
          <w:rFonts w:asciiTheme="minorHAnsi" w:hAnsiTheme="minorHAnsi" w:cstheme="minorHAnsi"/>
          <w:color w:val="000000"/>
          <w:sz w:val="20"/>
          <w:szCs w:val="20"/>
        </w:rPr>
        <w:t xml:space="preserve"> Universal Declaration of Human Rights. Nor does it matter that these terms are not mentioned in the two foundational human rights treaties - the International Covenant on Civil and Political Rights (ICCPR) and the International Covenant on Economic, Social and Cultural Rights (ICESCR). This is because the fundamental principle of universality ensures all human beings are entitled to all human rights. This is also demonstrated by the inclusion of the phrase ‘or other status’ in all of these three instruments. </w:t>
      </w:r>
    </w:p>
    <w:p w14:paraId="13237DBF" w14:textId="77777777" w:rsidR="00BB5E45" w:rsidRPr="00BB5E45" w:rsidRDefault="00BB5E45" w:rsidP="00BB5E45">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 xml:space="preserve">Over the past 30 years, international human rights mechanisms and forums have come to recognise explicitly what is guaranteed implicitly in human rights instruments. That is, that the universality of all human rights includes lesbian, gay, bisexual, </w:t>
      </w:r>
      <w:proofErr w:type="gramStart"/>
      <w:r w:rsidRPr="00BB5E45">
        <w:rPr>
          <w:rFonts w:asciiTheme="minorHAnsi" w:hAnsiTheme="minorHAnsi" w:cstheme="minorHAnsi"/>
          <w:color w:val="000000"/>
          <w:sz w:val="20"/>
          <w:szCs w:val="20"/>
        </w:rPr>
        <w:t>transgender</w:t>
      </w:r>
      <w:proofErr w:type="gramEnd"/>
      <w:r w:rsidRPr="00BB5E45">
        <w:rPr>
          <w:rFonts w:asciiTheme="minorHAnsi" w:hAnsiTheme="minorHAnsi" w:cstheme="minorHAnsi"/>
          <w:color w:val="000000"/>
          <w:sz w:val="20"/>
          <w:szCs w:val="20"/>
        </w:rPr>
        <w:t xml:space="preserve"> and intersex people.</w:t>
      </w:r>
    </w:p>
    <w:p w14:paraId="539BD63D" w14:textId="77777777" w:rsidR="00BB5E45" w:rsidRPr="00BB5E45" w:rsidRDefault="00BB5E45" w:rsidP="00BB5E45">
      <w:pPr>
        <w:spacing w:before="240" w:after="120"/>
        <w:jc w:val="both"/>
        <w:rPr>
          <w:rFonts w:asciiTheme="minorHAnsi" w:hAnsiTheme="minorHAnsi" w:cstheme="minorHAnsi"/>
          <w:sz w:val="20"/>
          <w:szCs w:val="20"/>
        </w:rPr>
      </w:pPr>
    </w:p>
    <w:p w14:paraId="1C76B170" w14:textId="592BFEB5" w:rsidR="00BB5E45" w:rsidRDefault="00BB5E45" w:rsidP="00BB5E45">
      <w:pPr>
        <w:pStyle w:val="NormalWeb"/>
        <w:spacing w:before="240" w:beforeAutospacing="0" w:after="120" w:afterAutospacing="0"/>
        <w:jc w:val="both"/>
        <w:rPr>
          <w:rFonts w:asciiTheme="minorHAnsi" w:hAnsiTheme="minorHAnsi" w:cstheme="minorHAnsi"/>
          <w:color w:val="000000"/>
          <w:sz w:val="20"/>
          <w:szCs w:val="20"/>
        </w:rPr>
      </w:pPr>
      <w:r w:rsidRPr="00BB5E45">
        <w:rPr>
          <w:rFonts w:asciiTheme="minorHAnsi" w:hAnsiTheme="minorHAnsi" w:cstheme="minorHAnsi"/>
          <w:color w:val="000000"/>
          <w:sz w:val="20"/>
          <w:szCs w:val="20"/>
        </w:rPr>
        <w:lastRenderedPageBreak/>
        <w:t xml:space="preserve">This factsheet discusses the approaches they have taken to ensuring the protection and promotion of the human rights of lesbian, gay, bisexual, </w:t>
      </w:r>
      <w:proofErr w:type="gramStart"/>
      <w:r w:rsidRPr="00BB5E45">
        <w:rPr>
          <w:rFonts w:asciiTheme="minorHAnsi" w:hAnsiTheme="minorHAnsi" w:cstheme="minorHAnsi"/>
          <w:color w:val="000000"/>
          <w:sz w:val="20"/>
          <w:szCs w:val="20"/>
        </w:rPr>
        <w:t>transgender</w:t>
      </w:r>
      <w:proofErr w:type="gramEnd"/>
      <w:r w:rsidRPr="00BB5E45">
        <w:rPr>
          <w:rFonts w:asciiTheme="minorHAnsi" w:hAnsiTheme="minorHAnsi" w:cstheme="minorHAnsi"/>
          <w:color w:val="000000"/>
          <w:sz w:val="20"/>
          <w:szCs w:val="20"/>
        </w:rPr>
        <w:t xml:space="preserve"> and intersex people. While the progress is uneven, it is building and irreversible.</w:t>
      </w:r>
    </w:p>
    <w:p w14:paraId="07D73E53" w14:textId="77777777" w:rsidR="00905AD1" w:rsidRPr="00BB5E45" w:rsidRDefault="00905AD1" w:rsidP="00BB5E45">
      <w:pPr>
        <w:pStyle w:val="NormalWeb"/>
        <w:spacing w:before="240" w:beforeAutospacing="0" w:after="120" w:afterAutospacing="0"/>
        <w:jc w:val="both"/>
        <w:rPr>
          <w:rFonts w:asciiTheme="minorHAnsi" w:hAnsiTheme="minorHAnsi" w:cstheme="minorHAnsi"/>
          <w:sz w:val="20"/>
          <w:szCs w:val="20"/>
        </w:rPr>
      </w:pPr>
    </w:p>
    <w:p w14:paraId="1081CFE9" w14:textId="77777777" w:rsidR="00BB5E45" w:rsidRPr="00E53FB9" w:rsidRDefault="00BB5E45" w:rsidP="00E53FB9">
      <w:pPr>
        <w:numPr>
          <w:ilvl w:val="0"/>
          <w:numId w:val="11"/>
        </w:numPr>
        <w:tabs>
          <w:tab w:val="clear" w:pos="720"/>
        </w:tabs>
        <w:spacing w:after="120"/>
        <w:ind w:left="426" w:hanging="426"/>
        <w:rPr>
          <w:rStyle w:val="normaltextrun"/>
          <w:rFonts w:asciiTheme="majorHAnsi" w:hAnsiTheme="majorHAnsi" w:cstheme="majorHAnsi"/>
          <w:b/>
          <w:bCs/>
          <w:color w:val="808285"/>
          <w:sz w:val="23"/>
          <w:szCs w:val="23"/>
          <w:shd w:val="clear" w:color="auto" w:fill="FFFFFF"/>
        </w:rPr>
      </w:pPr>
      <w:r w:rsidRPr="00E53FB9">
        <w:rPr>
          <w:rStyle w:val="normaltextrun"/>
          <w:rFonts w:asciiTheme="majorHAnsi" w:hAnsiTheme="majorHAnsi" w:cstheme="majorHAnsi"/>
          <w:b/>
          <w:bCs/>
          <w:color w:val="808285"/>
          <w:sz w:val="23"/>
          <w:szCs w:val="23"/>
          <w:shd w:val="clear" w:color="auto" w:fill="FFFFFF"/>
        </w:rPr>
        <w:t>The interpretation and application of international human rights law by treaty monitoring bodies</w:t>
      </w:r>
    </w:p>
    <w:p w14:paraId="5F11D64A" w14:textId="77777777" w:rsidR="00BB5E45" w:rsidRPr="00BB5E45" w:rsidRDefault="00BB5E45" w:rsidP="00BB5E45">
      <w:pPr>
        <w:pStyle w:val="Heading2"/>
        <w:numPr>
          <w:ilvl w:val="1"/>
          <w:numId w:val="12"/>
        </w:numPr>
        <w:ind w:left="540"/>
        <w:jc w:val="both"/>
        <w:textAlignment w:val="baseline"/>
        <w:rPr>
          <w:rFonts w:asciiTheme="minorHAnsi" w:hAnsiTheme="minorHAnsi" w:cstheme="minorHAnsi"/>
          <w:i/>
          <w:iCs/>
          <w:color w:val="000000"/>
          <w:sz w:val="20"/>
          <w:szCs w:val="20"/>
        </w:rPr>
      </w:pPr>
      <w:r w:rsidRPr="00BB5E45">
        <w:rPr>
          <w:rFonts w:asciiTheme="minorHAnsi" w:hAnsiTheme="minorHAnsi" w:cstheme="minorHAnsi"/>
          <w:b w:val="0"/>
          <w:bCs w:val="0"/>
          <w:i/>
          <w:iCs/>
          <w:color w:val="000000"/>
          <w:sz w:val="20"/>
          <w:szCs w:val="20"/>
        </w:rPr>
        <w:t>The treaty monitoring body system</w:t>
      </w:r>
    </w:p>
    <w:p w14:paraId="4A56BB03" w14:textId="77777777" w:rsidR="00BB5E45" w:rsidRPr="00BB5E45" w:rsidRDefault="00BB5E45" w:rsidP="00BB5E45">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 xml:space="preserve">Each of the </w:t>
      </w:r>
      <w:proofErr w:type="gramStart"/>
      <w:r w:rsidRPr="00BB5E45">
        <w:rPr>
          <w:rFonts w:asciiTheme="minorHAnsi" w:hAnsiTheme="minorHAnsi" w:cstheme="minorHAnsi"/>
          <w:color w:val="000000"/>
          <w:sz w:val="20"/>
          <w:szCs w:val="20"/>
        </w:rPr>
        <w:t>nine core</w:t>
      </w:r>
      <w:proofErr w:type="gramEnd"/>
      <w:r w:rsidRPr="00BB5E45">
        <w:rPr>
          <w:rFonts w:asciiTheme="minorHAnsi" w:hAnsiTheme="minorHAnsi" w:cstheme="minorHAnsi"/>
          <w:color w:val="000000"/>
          <w:sz w:val="20"/>
          <w:szCs w:val="20"/>
        </w:rPr>
        <w:t xml:space="preserve"> international human rights treaties has a committee of independent human rights experts to: </w:t>
      </w:r>
    </w:p>
    <w:p w14:paraId="7C512BAB" w14:textId="77777777" w:rsidR="00BB5E45" w:rsidRPr="00BB5E45" w:rsidRDefault="00BB5E45" w:rsidP="00BB5E45">
      <w:pPr>
        <w:pStyle w:val="NormalWeb"/>
        <w:numPr>
          <w:ilvl w:val="0"/>
          <w:numId w:val="13"/>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promote ratification and implementation of the treaty </w:t>
      </w:r>
    </w:p>
    <w:p w14:paraId="51052732" w14:textId="77777777" w:rsidR="00BB5E45" w:rsidRPr="00BB5E45" w:rsidRDefault="00BB5E45" w:rsidP="00BB5E45">
      <w:pPr>
        <w:pStyle w:val="NormalWeb"/>
        <w:numPr>
          <w:ilvl w:val="0"/>
          <w:numId w:val="13"/>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 xml:space="preserve">receive periodic reports from States parties and examine the States parties </w:t>
      </w:r>
      <w:proofErr w:type="gramStart"/>
      <w:r w:rsidRPr="00BB5E45">
        <w:rPr>
          <w:rFonts w:asciiTheme="minorHAnsi" w:hAnsiTheme="minorHAnsi" w:cstheme="minorHAnsi"/>
          <w:color w:val="000000"/>
          <w:sz w:val="20"/>
          <w:szCs w:val="20"/>
        </w:rPr>
        <w:t>on the basis of</w:t>
      </w:r>
      <w:proofErr w:type="gramEnd"/>
      <w:r w:rsidRPr="00BB5E45">
        <w:rPr>
          <w:rFonts w:asciiTheme="minorHAnsi" w:hAnsiTheme="minorHAnsi" w:cstheme="minorHAnsi"/>
          <w:color w:val="000000"/>
          <w:sz w:val="20"/>
          <w:szCs w:val="20"/>
        </w:rPr>
        <w:t xml:space="preserve"> those reports </w:t>
      </w:r>
    </w:p>
    <w:p w14:paraId="4DBD8E8B" w14:textId="77777777" w:rsidR="00BB5E45" w:rsidRPr="00BB5E45" w:rsidRDefault="00BB5E45" w:rsidP="00BB5E45">
      <w:pPr>
        <w:pStyle w:val="NormalWeb"/>
        <w:numPr>
          <w:ilvl w:val="0"/>
          <w:numId w:val="13"/>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issue guidance to States parties on the interpretation and implementation of the treaty </w:t>
      </w:r>
    </w:p>
    <w:p w14:paraId="7C123B1E" w14:textId="77777777" w:rsidR="00BB5E45" w:rsidRPr="00BB5E45" w:rsidRDefault="00BB5E45" w:rsidP="00BB5E45">
      <w:pPr>
        <w:pStyle w:val="NormalWeb"/>
        <w:numPr>
          <w:ilvl w:val="0"/>
          <w:numId w:val="13"/>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receive and give advisory opinions on individual complaints of violation of the treaty where the State party has accepted that jurisdiction of the committee </w:t>
      </w:r>
    </w:p>
    <w:p w14:paraId="6272D8D2" w14:textId="77777777" w:rsidR="00BB5E45" w:rsidRPr="00BB5E45" w:rsidRDefault="00BB5E45" w:rsidP="00BB5E45">
      <w:pPr>
        <w:pStyle w:val="NormalWeb"/>
        <w:numPr>
          <w:ilvl w:val="0"/>
          <w:numId w:val="13"/>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hold general discussion days on themes arising under the treaty.</w:t>
      </w:r>
    </w:p>
    <w:p w14:paraId="6AF4D1EB" w14:textId="77777777" w:rsidR="00BB5E45" w:rsidRPr="00BB5E45" w:rsidRDefault="00BB5E45" w:rsidP="00BB5E45">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The jurisprudence from treaty monitoring bodies is contained in their opinions responding to individual communications, their concluding observations on State reports, and in their interpretative guidance (generally in the form of ‘general comments’ or ‘general recommendations’). In this jurisprudence, the treaty monitoring bodies have made it clear repeatedly that the treaties for which they are responsible extend to all persons. </w:t>
      </w:r>
    </w:p>
    <w:p w14:paraId="4D261836" w14:textId="77777777" w:rsidR="00BB5E45" w:rsidRPr="00BB5E45" w:rsidRDefault="00BB5E45" w:rsidP="00BB5E45">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 xml:space="preserve">Most of them have now made specific reference to sexual orientation, with some also referring </w:t>
      </w:r>
      <w:proofErr w:type="gramStart"/>
      <w:r w:rsidRPr="00BB5E45">
        <w:rPr>
          <w:rFonts w:asciiTheme="minorHAnsi" w:hAnsiTheme="minorHAnsi" w:cstheme="minorHAnsi"/>
          <w:color w:val="000000"/>
          <w:sz w:val="20"/>
          <w:szCs w:val="20"/>
        </w:rPr>
        <w:t>to  gender</w:t>
      </w:r>
      <w:proofErr w:type="gramEnd"/>
      <w:r w:rsidRPr="00BB5E45">
        <w:rPr>
          <w:rFonts w:asciiTheme="minorHAnsi" w:hAnsiTheme="minorHAnsi" w:cstheme="minorHAnsi"/>
          <w:color w:val="000000"/>
          <w:sz w:val="20"/>
          <w:szCs w:val="20"/>
        </w:rPr>
        <w:t xml:space="preserve"> identity or expression, as within the scope of the treaty. A smaller number have referred to sex characteristics (often as ‘intersex’ or ‘intersex status’) specifically. Some treaty monitoring bodies have still made no mention at all to issues within their jurisdictions affecting lesbian, gay, bisexual, </w:t>
      </w:r>
      <w:proofErr w:type="gramStart"/>
      <w:r w:rsidRPr="00BB5E45">
        <w:rPr>
          <w:rFonts w:asciiTheme="minorHAnsi" w:hAnsiTheme="minorHAnsi" w:cstheme="minorHAnsi"/>
          <w:color w:val="000000"/>
          <w:sz w:val="20"/>
          <w:szCs w:val="20"/>
        </w:rPr>
        <w:t>transgender</w:t>
      </w:r>
      <w:proofErr w:type="gramEnd"/>
      <w:r w:rsidRPr="00BB5E45">
        <w:rPr>
          <w:rFonts w:asciiTheme="minorHAnsi" w:hAnsiTheme="minorHAnsi" w:cstheme="minorHAnsi"/>
          <w:color w:val="000000"/>
          <w:sz w:val="20"/>
          <w:szCs w:val="20"/>
        </w:rPr>
        <w:t xml:space="preserve"> and intersex people.</w:t>
      </w:r>
    </w:p>
    <w:p w14:paraId="497BA290" w14:textId="77777777" w:rsidR="00BB5E45" w:rsidRPr="00BB5E45" w:rsidRDefault="00BB5E45" w:rsidP="00BB5E45">
      <w:pPr>
        <w:pStyle w:val="Heading2"/>
        <w:numPr>
          <w:ilvl w:val="0"/>
          <w:numId w:val="14"/>
        </w:numPr>
        <w:ind w:left="990"/>
        <w:jc w:val="both"/>
        <w:textAlignment w:val="baseline"/>
        <w:rPr>
          <w:rFonts w:asciiTheme="minorHAnsi" w:hAnsiTheme="minorHAnsi" w:cstheme="minorHAnsi"/>
          <w:i/>
          <w:iCs/>
          <w:color w:val="000000"/>
          <w:sz w:val="20"/>
          <w:szCs w:val="20"/>
        </w:rPr>
      </w:pPr>
      <w:r w:rsidRPr="00BB5E45">
        <w:rPr>
          <w:rFonts w:asciiTheme="minorHAnsi" w:hAnsiTheme="minorHAnsi" w:cstheme="minorHAnsi"/>
          <w:b w:val="0"/>
          <w:bCs w:val="0"/>
          <w:i/>
          <w:iCs/>
          <w:color w:val="000000"/>
          <w:sz w:val="20"/>
          <w:szCs w:val="20"/>
        </w:rPr>
        <w:t> Concluding observations</w:t>
      </w:r>
    </w:p>
    <w:p w14:paraId="6A04ECCB" w14:textId="4106399C" w:rsidR="00BB5E45" w:rsidRPr="00BB5E45" w:rsidRDefault="00BB5E45" w:rsidP="00F867C2">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Every State party to a human rights treaty must submit periodic reports to the treaty monitoring body on its implementation of the treaty, which is then examined by the members of the treaty monitoring body. The treaty monitoring body issues its concluding observations, with findings and recommendations, after the examination of the State. </w:t>
      </w:r>
    </w:p>
    <w:p w14:paraId="59FD203B" w14:textId="77777777" w:rsidR="00BB5E45" w:rsidRPr="00BB5E45" w:rsidRDefault="00BB5E45" w:rsidP="00BB5E45">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Increasingly, human rights Issues related to people’s sexual orientation, gender identity and expression, and more recently about sex characteristics, are raised during this process. More treaty monitoring bodies are also referring to these issues in their concluding observations. Since 2009, this has included attention, particularly by the Committee against Torture, to human rights violations experienced by intersex people.</w:t>
      </w:r>
    </w:p>
    <w:p w14:paraId="5ECA5445" w14:textId="77777777" w:rsidR="00BB5E45" w:rsidRPr="00BB5E45" w:rsidRDefault="00BB5E45" w:rsidP="00BB5E45">
      <w:pPr>
        <w:pStyle w:val="Heading2"/>
        <w:numPr>
          <w:ilvl w:val="0"/>
          <w:numId w:val="15"/>
        </w:numPr>
        <w:jc w:val="both"/>
        <w:textAlignment w:val="baseline"/>
        <w:rPr>
          <w:rFonts w:asciiTheme="minorHAnsi" w:hAnsiTheme="minorHAnsi" w:cstheme="minorHAnsi"/>
          <w:i/>
          <w:iCs/>
          <w:color w:val="000000"/>
          <w:sz w:val="20"/>
          <w:szCs w:val="20"/>
        </w:rPr>
      </w:pPr>
      <w:r w:rsidRPr="00BB5E45">
        <w:rPr>
          <w:rFonts w:asciiTheme="minorHAnsi" w:hAnsiTheme="minorHAnsi" w:cstheme="minorHAnsi"/>
          <w:b w:val="0"/>
          <w:bCs w:val="0"/>
          <w:i/>
          <w:iCs/>
          <w:color w:val="000000"/>
          <w:sz w:val="20"/>
          <w:szCs w:val="20"/>
        </w:rPr>
        <w:t>Individual communications</w:t>
      </w:r>
    </w:p>
    <w:p w14:paraId="130FB6EE" w14:textId="77777777" w:rsidR="00BB5E45" w:rsidRPr="00BB5E45" w:rsidRDefault="00BB5E45" w:rsidP="00BB5E45">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The first reference to sexual orientation by a treaty monitoring body was a positive comment in a concluding observation in 1993. However, the inclusion of violations of the rights of lesbian and gay persons in international human rights jurisprudence first occurred in response to individual communications (complaints). </w:t>
      </w:r>
    </w:p>
    <w:p w14:paraId="5CE99676" w14:textId="77777777" w:rsidR="00BB5E45" w:rsidRPr="00BB5E45" w:rsidRDefault="00BB5E45" w:rsidP="00BB5E45">
      <w:pPr>
        <w:spacing w:before="240" w:after="120"/>
        <w:jc w:val="both"/>
        <w:rPr>
          <w:rFonts w:asciiTheme="minorHAnsi" w:hAnsiTheme="minorHAnsi" w:cstheme="minorHAnsi"/>
          <w:sz w:val="20"/>
          <w:szCs w:val="20"/>
        </w:rPr>
      </w:pPr>
    </w:p>
    <w:p w14:paraId="083E0A15" w14:textId="77777777" w:rsidR="00BB5E45" w:rsidRPr="00BB5E45" w:rsidRDefault="00BB5E45" w:rsidP="00BB5E45">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lastRenderedPageBreak/>
        <w:t xml:space="preserve">In 1991, Nicholas </w:t>
      </w:r>
      <w:proofErr w:type="spellStart"/>
      <w:r w:rsidRPr="00BB5E45">
        <w:rPr>
          <w:rFonts w:asciiTheme="minorHAnsi" w:hAnsiTheme="minorHAnsi" w:cstheme="minorHAnsi"/>
          <w:color w:val="000000"/>
          <w:sz w:val="20"/>
          <w:szCs w:val="20"/>
        </w:rPr>
        <w:t>Toonen</w:t>
      </w:r>
      <w:proofErr w:type="spellEnd"/>
      <w:r w:rsidRPr="00BB5E45">
        <w:rPr>
          <w:rFonts w:asciiTheme="minorHAnsi" w:hAnsiTheme="minorHAnsi" w:cstheme="minorHAnsi"/>
          <w:color w:val="000000"/>
          <w:sz w:val="20"/>
          <w:szCs w:val="20"/>
        </w:rPr>
        <w:t>, a gay man, complained to the Human Rights Committee that laws criminalising homosexuality in the Australian state of Tasmania violated his rights under the International Covenant on Civil and Political Rights. The Committee’s decision in 1994 established for the first time that international human rights law applies to promote and protect the human rights of lesbian, gay and bisexual people. </w:t>
      </w:r>
    </w:p>
    <w:p w14:paraId="4F15799B" w14:textId="77777777" w:rsidR="00BB5E45" w:rsidRPr="00BB5E45" w:rsidRDefault="00BB5E45" w:rsidP="00BB5E45">
      <w:pPr>
        <w:pStyle w:val="Heading2"/>
        <w:numPr>
          <w:ilvl w:val="0"/>
          <w:numId w:val="16"/>
        </w:numPr>
        <w:ind w:left="630"/>
        <w:jc w:val="both"/>
        <w:textAlignment w:val="baseline"/>
        <w:rPr>
          <w:rFonts w:asciiTheme="minorHAnsi" w:hAnsiTheme="minorHAnsi" w:cstheme="minorHAnsi"/>
          <w:i/>
          <w:iCs/>
          <w:color w:val="000000"/>
          <w:sz w:val="20"/>
          <w:szCs w:val="20"/>
        </w:rPr>
      </w:pPr>
      <w:r w:rsidRPr="00BB5E45">
        <w:rPr>
          <w:rFonts w:asciiTheme="minorHAnsi" w:hAnsiTheme="minorHAnsi" w:cstheme="minorHAnsi"/>
          <w:b w:val="0"/>
          <w:bCs w:val="0"/>
          <w:i/>
          <w:iCs/>
          <w:color w:val="000000"/>
          <w:sz w:val="20"/>
          <w:szCs w:val="20"/>
        </w:rPr>
        <w:t> General comments</w:t>
      </w:r>
    </w:p>
    <w:p w14:paraId="05E70F12" w14:textId="77777777" w:rsidR="00BB5E45" w:rsidRPr="00BB5E45" w:rsidRDefault="00BB5E45" w:rsidP="00BB5E45">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The greater awareness of these issues in the treaty monitoring bodies is also reflected in the inclusion of references to sexual orientation, gender identity and expression and sex characteristics in General Comments and Concluding Observations or Recommendations. These include, for example, General Comments or Recommendations from the:</w:t>
      </w:r>
    </w:p>
    <w:p w14:paraId="0C39DE43" w14:textId="77777777" w:rsidR="00BB5E45" w:rsidRPr="00BB5E45" w:rsidRDefault="00BB5E45" w:rsidP="00BB5E45">
      <w:pPr>
        <w:pStyle w:val="NormalWeb"/>
        <w:numPr>
          <w:ilvl w:val="0"/>
          <w:numId w:val="17"/>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i/>
          <w:iCs/>
          <w:color w:val="000000"/>
          <w:sz w:val="20"/>
          <w:szCs w:val="20"/>
        </w:rPr>
        <w:t>Human Rights Committee</w:t>
      </w:r>
      <w:r w:rsidRPr="00BB5E45">
        <w:rPr>
          <w:rFonts w:asciiTheme="minorHAnsi" w:hAnsiTheme="minorHAnsi" w:cstheme="minorHAnsi"/>
          <w:color w:val="000000"/>
          <w:sz w:val="20"/>
          <w:szCs w:val="20"/>
        </w:rPr>
        <w:t xml:space="preserve"> (including as vulnerable persons needing “exceptional measures of protection”)</w:t>
      </w:r>
    </w:p>
    <w:p w14:paraId="23107713" w14:textId="77777777" w:rsidR="00BB5E45" w:rsidRPr="00BB5E45" w:rsidRDefault="00BB5E45" w:rsidP="00BB5E45">
      <w:pPr>
        <w:pStyle w:val="NormalWeb"/>
        <w:numPr>
          <w:ilvl w:val="0"/>
          <w:numId w:val="17"/>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i/>
          <w:iCs/>
          <w:color w:val="000000"/>
          <w:sz w:val="20"/>
          <w:szCs w:val="20"/>
        </w:rPr>
        <w:t>Committee on Economic, Social and Cultural Rights</w:t>
      </w:r>
      <w:r w:rsidRPr="00BB5E45">
        <w:rPr>
          <w:rFonts w:asciiTheme="minorHAnsi" w:hAnsiTheme="minorHAnsi" w:cstheme="minorHAnsi"/>
          <w:color w:val="000000"/>
          <w:sz w:val="20"/>
          <w:szCs w:val="20"/>
        </w:rPr>
        <w:t xml:space="preserve"> (including in relation to the rights to the highest attainable standard of health, to water, to work, and to social security)</w:t>
      </w:r>
    </w:p>
    <w:p w14:paraId="49B4D95C" w14:textId="77777777" w:rsidR="00BB5E45" w:rsidRPr="00BB5E45" w:rsidRDefault="00BB5E45" w:rsidP="00BB5E45">
      <w:pPr>
        <w:pStyle w:val="NormalWeb"/>
        <w:numPr>
          <w:ilvl w:val="0"/>
          <w:numId w:val="17"/>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i/>
          <w:iCs/>
          <w:color w:val="000000"/>
          <w:sz w:val="20"/>
          <w:szCs w:val="20"/>
        </w:rPr>
        <w:t>Committee on the Elimination of Discrimination against Women</w:t>
      </w:r>
      <w:r w:rsidRPr="00BB5E45">
        <w:rPr>
          <w:rFonts w:asciiTheme="minorHAnsi" w:hAnsiTheme="minorHAnsi" w:cstheme="minorHAnsi"/>
          <w:color w:val="000000"/>
          <w:sz w:val="20"/>
          <w:szCs w:val="20"/>
        </w:rPr>
        <w:t xml:space="preserve"> (including in relation to access to justice and to the human rights of older women, and of those who are asylum seekers, refugees or stateless)</w:t>
      </w:r>
    </w:p>
    <w:p w14:paraId="3A0386DF" w14:textId="77777777" w:rsidR="00BB5E45" w:rsidRPr="00BB5E45" w:rsidRDefault="00BB5E45" w:rsidP="00BB5E45">
      <w:pPr>
        <w:pStyle w:val="NormalWeb"/>
        <w:numPr>
          <w:ilvl w:val="0"/>
          <w:numId w:val="17"/>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i/>
          <w:iCs/>
          <w:color w:val="000000"/>
          <w:sz w:val="20"/>
          <w:szCs w:val="20"/>
        </w:rPr>
        <w:t xml:space="preserve">Committee on the Rights of the Child </w:t>
      </w:r>
      <w:r w:rsidRPr="00BB5E45">
        <w:rPr>
          <w:rFonts w:asciiTheme="minorHAnsi" w:hAnsiTheme="minorHAnsi" w:cstheme="minorHAnsi"/>
          <w:color w:val="000000"/>
          <w:sz w:val="20"/>
          <w:szCs w:val="20"/>
        </w:rPr>
        <w:t>(in relation to the best interests of the child, and their rights to the highest attainable standard of health and to freedom from all forms of violence) and the</w:t>
      </w:r>
    </w:p>
    <w:p w14:paraId="3459FACB" w14:textId="4C35249C" w:rsidR="00BB5E45" w:rsidRPr="00E53FB9" w:rsidRDefault="00BB5E45" w:rsidP="00BB5E45">
      <w:pPr>
        <w:pStyle w:val="NormalWeb"/>
        <w:numPr>
          <w:ilvl w:val="0"/>
          <w:numId w:val="17"/>
        </w:numPr>
        <w:spacing w:before="240" w:beforeAutospacing="0" w:after="120" w:afterAutospacing="0"/>
        <w:jc w:val="both"/>
        <w:textAlignment w:val="baseline"/>
        <w:rPr>
          <w:rFonts w:asciiTheme="minorHAnsi" w:hAnsiTheme="minorHAnsi" w:cstheme="minorHAnsi"/>
          <w:b/>
          <w:bCs/>
          <w:color w:val="000000"/>
          <w:sz w:val="20"/>
          <w:szCs w:val="20"/>
        </w:rPr>
      </w:pPr>
      <w:r w:rsidRPr="00BB5E45">
        <w:rPr>
          <w:rFonts w:asciiTheme="minorHAnsi" w:hAnsiTheme="minorHAnsi" w:cstheme="minorHAnsi"/>
          <w:i/>
          <w:iCs/>
          <w:color w:val="000000"/>
          <w:sz w:val="20"/>
          <w:szCs w:val="20"/>
        </w:rPr>
        <w:t>Committee against Torture</w:t>
      </w:r>
      <w:r w:rsidRPr="00BB5E45">
        <w:rPr>
          <w:rFonts w:asciiTheme="minorHAnsi" w:hAnsiTheme="minorHAnsi" w:cstheme="minorHAnsi"/>
          <w:color w:val="000000"/>
          <w:sz w:val="20"/>
          <w:szCs w:val="20"/>
        </w:rPr>
        <w:t xml:space="preserve"> (identifying lesbian, gay, bisexual, </w:t>
      </w:r>
      <w:proofErr w:type="gramStart"/>
      <w:r w:rsidRPr="00BB5E45">
        <w:rPr>
          <w:rFonts w:asciiTheme="minorHAnsi" w:hAnsiTheme="minorHAnsi" w:cstheme="minorHAnsi"/>
          <w:color w:val="000000"/>
          <w:sz w:val="20"/>
          <w:szCs w:val="20"/>
        </w:rPr>
        <w:t>transgender</w:t>
      </w:r>
      <w:proofErr w:type="gramEnd"/>
      <w:r w:rsidRPr="00BB5E45">
        <w:rPr>
          <w:rFonts w:asciiTheme="minorHAnsi" w:hAnsiTheme="minorHAnsi" w:cstheme="minorHAnsi"/>
          <w:color w:val="000000"/>
          <w:sz w:val="20"/>
          <w:szCs w:val="20"/>
        </w:rPr>
        <w:t xml:space="preserve"> and intersex people as especially vulnerable to torture).</w:t>
      </w:r>
    </w:p>
    <w:p w14:paraId="2DCA4B24" w14:textId="77777777" w:rsidR="00E53FB9" w:rsidRPr="00BB5E45" w:rsidRDefault="00E53FB9" w:rsidP="00E53FB9">
      <w:pPr>
        <w:pStyle w:val="NormalWeb"/>
        <w:spacing w:before="240" w:beforeAutospacing="0" w:after="120" w:afterAutospacing="0"/>
        <w:ind w:left="720"/>
        <w:jc w:val="both"/>
        <w:textAlignment w:val="baseline"/>
        <w:rPr>
          <w:rFonts w:asciiTheme="minorHAnsi" w:hAnsiTheme="minorHAnsi" w:cstheme="minorHAnsi"/>
          <w:b/>
          <w:bCs/>
          <w:color w:val="000000"/>
          <w:sz w:val="20"/>
          <w:szCs w:val="20"/>
        </w:rPr>
      </w:pPr>
    </w:p>
    <w:p w14:paraId="7AF71928" w14:textId="77777777" w:rsidR="00BB5E45" w:rsidRPr="00E53FB9" w:rsidRDefault="00BB5E45" w:rsidP="00E53FB9">
      <w:pPr>
        <w:numPr>
          <w:ilvl w:val="0"/>
          <w:numId w:val="11"/>
        </w:numPr>
        <w:tabs>
          <w:tab w:val="clear" w:pos="720"/>
        </w:tabs>
        <w:spacing w:after="120"/>
        <w:ind w:left="426" w:hanging="426"/>
        <w:rPr>
          <w:rStyle w:val="normaltextrun"/>
          <w:rFonts w:asciiTheme="majorHAnsi" w:hAnsiTheme="majorHAnsi" w:cstheme="majorHAnsi"/>
          <w:color w:val="808285"/>
          <w:sz w:val="23"/>
          <w:szCs w:val="23"/>
          <w:shd w:val="clear" w:color="auto" w:fill="FFFFFF"/>
        </w:rPr>
      </w:pPr>
      <w:r w:rsidRPr="00E53FB9">
        <w:rPr>
          <w:rStyle w:val="normaltextrun"/>
          <w:rFonts w:asciiTheme="majorHAnsi" w:hAnsiTheme="majorHAnsi" w:cstheme="majorHAnsi"/>
          <w:b/>
          <w:bCs/>
          <w:color w:val="808285"/>
          <w:sz w:val="23"/>
          <w:szCs w:val="23"/>
          <w:shd w:val="clear" w:color="auto" w:fill="FFFFFF"/>
        </w:rPr>
        <w:t>The views and approaches of the special procedures of the human rights council</w:t>
      </w:r>
    </w:p>
    <w:p w14:paraId="748D0472" w14:textId="77777777" w:rsidR="00BB5E45" w:rsidRPr="00BB5E45" w:rsidRDefault="00BB5E45" w:rsidP="00BB5E45">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The Human Rights Council is the UN’s highest body with specialist responsibility for human rights. It has a very broad mandate for the promotion and protection of human rights. One of the functions of the Human Rights Council is the establishment of special procedures, independent human rights experts appointed to: </w:t>
      </w:r>
    </w:p>
    <w:p w14:paraId="60F07F6D" w14:textId="77777777" w:rsidR="00BB5E45" w:rsidRPr="00BB5E45" w:rsidRDefault="00BB5E45" w:rsidP="00BB5E45">
      <w:pPr>
        <w:pStyle w:val="NormalWeb"/>
        <w:numPr>
          <w:ilvl w:val="0"/>
          <w:numId w:val="19"/>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study and increase understanding of a particular human rights matter or situation </w:t>
      </w:r>
    </w:p>
    <w:p w14:paraId="35C6DEAC" w14:textId="5E59E64E" w:rsidR="00BB5E45" w:rsidRPr="00F867C2" w:rsidRDefault="00BB5E45" w:rsidP="00BB5E45">
      <w:pPr>
        <w:pStyle w:val="NormalWeb"/>
        <w:numPr>
          <w:ilvl w:val="0"/>
          <w:numId w:val="19"/>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 xml:space="preserve">receive information and report on </w:t>
      </w:r>
      <w:proofErr w:type="gramStart"/>
      <w:r w:rsidRPr="00BB5E45">
        <w:rPr>
          <w:rFonts w:asciiTheme="minorHAnsi" w:hAnsiTheme="minorHAnsi" w:cstheme="minorHAnsi"/>
          <w:color w:val="000000"/>
          <w:sz w:val="20"/>
          <w:szCs w:val="20"/>
        </w:rPr>
        <w:t>particular human</w:t>
      </w:r>
      <w:proofErr w:type="gramEnd"/>
      <w:r w:rsidRPr="00BB5E45">
        <w:rPr>
          <w:rFonts w:asciiTheme="minorHAnsi" w:hAnsiTheme="minorHAnsi" w:cstheme="minorHAnsi"/>
          <w:color w:val="000000"/>
          <w:sz w:val="20"/>
          <w:szCs w:val="20"/>
        </w:rPr>
        <w:t xml:space="preserve"> rights violations.</w:t>
      </w:r>
    </w:p>
    <w:p w14:paraId="5CAD20B5" w14:textId="10FC2E8F" w:rsidR="00BB5E45" w:rsidRPr="00BB5E45" w:rsidRDefault="00BB5E45" w:rsidP="00F867C2">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Their mandates can relate to a specific human rights issue or theme (‘thematic mandates’) or to the human rights situation in a specific country (‘country mandates’).</w:t>
      </w:r>
    </w:p>
    <w:p w14:paraId="78CCB05E" w14:textId="0E06030A" w:rsidR="00BB5E45" w:rsidRDefault="00BB5E45" w:rsidP="00BB5E45">
      <w:pPr>
        <w:pStyle w:val="NormalWeb"/>
        <w:spacing w:before="240" w:beforeAutospacing="0" w:after="120" w:afterAutospacing="0"/>
        <w:jc w:val="both"/>
        <w:rPr>
          <w:rFonts w:asciiTheme="minorHAnsi" w:hAnsiTheme="minorHAnsi" w:cstheme="minorHAnsi"/>
          <w:color w:val="000000"/>
          <w:sz w:val="20"/>
          <w:szCs w:val="20"/>
        </w:rPr>
      </w:pPr>
      <w:r w:rsidRPr="00BB5E45">
        <w:rPr>
          <w:rFonts w:asciiTheme="minorHAnsi" w:hAnsiTheme="minorHAnsi" w:cstheme="minorHAnsi"/>
          <w:color w:val="000000"/>
          <w:sz w:val="20"/>
          <w:szCs w:val="20"/>
        </w:rPr>
        <w:t xml:space="preserve">The mandate of the Independent Expert on protection against violence and discrimination based on sexual orientation and gender identity was established through a UN Human Rights Council mandate in 2016. Some of the Independent Expert SOGI’s recent thematic reports have focused on gender theory, the impact of COVID-19 on LGBT persons, so-called conversion therapy practices, and social, </w:t>
      </w:r>
      <w:proofErr w:type="gramStart"/>
      <w:r w:rsidRPr="00BB5E45">
        <w:rPr>
          <w:rFonts w:asciiTheme="minorHAnsi" w:hAnsiTheme="minorHAnsi" w:cstheme="minorHAnsi"/>
          <w:color w:val="000000"/>
          <w:sz w:val="20"/>
          <w:szCs w:val="20"/>
        </w:rPr>
        <w:t>cultural</w:t>
      </w:r>
      <w:proofErr w:type="gramEnd"/>
      <w:r w:rsidRPr="00BB5E45">
        <w:rPr>
          <w:rFonts w:asciiTheme="minorHAnsi" w:hAnsiTheme="minorHAnsi" w:cstheme="minorHAnsi"/>
          <w:color w:val="000000"/>
          <w:sz w:val="20"/>
          <w:szCs w:val="20"/>
        </w:rPr>
        <w:t xml:space="preserve"> and economic inclusion. </w:t>
      </w:r>
    </w:p>
    <w:p w14:paraId="17AF410C" w14:textId="77777777" w:rsidR="00E53FB9" w:rsidRPr="00BB5E45" w:rsidRDefault="00E53FB9" w:rsidP="00BB5E45">
      <w:pPr>
        <w:pStyle w:val="NormalWeb"/>
        <w:spacing w:before="240" w:beforeAutospacing="0" w:after="120" w:afterAutospacing="0"/>
        <w:jc w:val="both"/>
        <w:rPr>
          <w:rFonts w:asciiTheme="minorHAnsi" w:hAnsiTheme="minorHAnsi" w:cstheme="minorHAnsi"/>
          <w:sz w:val="20"/>
          <w:szCs w:val="20"/>
        </w:rPr>
      </w:pPr>
    </w:p>
    <w:p w14:paraId="5F970693" w14:textId="77777777" w:rsidR="00BB5E45" w:rsidRPr="00E53FB9" w:rsidRDefault="00BB5E45" w:rsidP="00E53FB9">
      <w:pPr>
        <w:numPr>
          <w:ilvl w:val="0"/>
          <w:numId w:val="11"/>
        </w:numPr>
        <w:tabs>
          <w:tab w:val="clear" w:pos="720"/>
        </w:tabs>
        <w:spacing w:after="120"/>
        <w:ind w:left="426" w:hanging="426"/>
        <w:rPr>
          <w:rStyle w:val="normaltextrun"/>
          <w:rFonts w:asciiTheme="majorHAnsi" w:hAnsiTheme="majorHAnsi" w:cstheme="majorHAnsi"/>
          <w:b/>
          <w:bCs/>
          <w:color w:val="808285"/>
          <w:sz w:val="23"/>
          <w:szCs w:val="23"/>
          <w:shd w:val="clear" w:color="auto" w:fill="FFFFFF"/>
        </w:rPr>
      </w:pPr>
      <w:r w:rsidRPr="00E53FB9">
        <w:rPr>
          <w:rStyle w:val="normaltextrun"/>
          <w:rFonts w:asciiTheme="majorHAnsi" w:hAnsiTheme="majorHAnsi" w:cstheme="majorHAnsi"/>
          <w:b/>
          <w:bCs/>
          <w:color w:val="808285"/>
          <w:sz w:val="23"/>
          <w:szCs w:val="23"/>
          <w:shd w:val="clear" w:color="auto" w:fill="FFFFFF"/>
        </w:rPr>
        <w:t>Sexual orientation, gender identity and sex characteristics in UN political forums</w:t>
      </w:r>
    </w:p>
    <w:p w14:paraId="2D17F8F4" w14:textId="703EFC54" w:rsidR="00BB5E45" w:rsidRPr="00BB5E45" w:rsidRDefault="00BB5E45" w:rsidP="00474151">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 xml:space="preserve">The UN’s political bodies – the General Assembly and the Human Rights Council – have been far slower to accept that lesbian, gay, bisexual, transgender and intersex people have human rights and </w:t>
      </w:r>
      <w:r w:rsidRPr="00BB5E45">
        <w:rPr>
          <w:rFonts w:asciiTheme="minorHAnsi" w:hAnsiTheme="minorHAnsi" w:cstheme="minorHAnsi"/>
          <w:color w:val="000000"/>
          <w:sz w:val="20"/>
          <w:szCs w:val="20"/>
        </w:rPr>
        <w:lastRenderedPageBreak/>
        <w:t xml:space="preserve">experience violations of those rights. In these forums, the members are States, not human </w:t>
      </w:r>
      <w:proofErr w:type="gramStart"/>
      <w:r w:rsidRPr="00BB5E45">
        <w:rPr>
          <w:rFonts w:asciiTheme="minorHAnsi" w:hAnsiTheme="minorHAnsi" w:cstheme="minorHAnsi"/>
          <w:color w:val="000000"/>
          <w:sz w:val="20"/>
          <w:szCs w:val="20"/>
        </w:rPr>
        <w:t>rights</w:t>
      </w:r>
      <w:proofErr w:type="gramEnd"/>
      <w:r w:rsidRPr="00BB5E45">
        <w:rPr>
          <w:rFonts w:asciiTheme="minorHAnsi" w:hAnsiTheme="minorHAnsi" w:cstheme="minorHAnsi"/>
          <w:color w:val="000000"/>
          <w:sz w:val="20"/>
          <w:szCs w:val="20"/>
        </w:rPr>
        <w:t xml:space="preserve"> or legal experts, where votes are taken on issues. At times these votes are based on international and domestic political ideologies, not on international law. </w:t>
      </w:r>
    </w:p>
    <w:p w14:paraId="0BB66FC0" w14:textId="77777777" w:rsidR="00BB5E45" w:rsidRPr="00BB5E45" w:rsidRDefault="00BB5E45" w:rsidP="00BB5E45">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 xml:space="preserve">Harmful traditional cultural beliefs and practices are often built on ignorance and prejudice. That has been evident historically in many areas of human rights concern. It is especially evident today in relation to the rights of lesbian, gay, bisexual, </w:t>
      </w:r>
      <w:proofErr w:type="gramStart"/>
      <w:r w:rsidRPr="00BB5E45">
        <w:rPr>
          <w:rFonts w:asciiTheme="minorHAnsi" w:hAnsiTheme="minorHAnsi" w:cstheme="minorHAnsi"/>
          <w:color w:val="000000"/>
          <w:sz w:val="20"/>
          <w:szCs w:val="20"/>
        </w:rPr>
        <w:t>transgender</w:t>
      </w:r>
      <w:proofErr w:type="gramEnd"/>
      <w:r w:rsidRPr="00BB5E45">
        <w:rPr>
          <w:rFonts w:asciiTheme="minorHAnsi" w:hAnsiTheme="minorHAnsi" w:cstheme="minorHAnsi"/>
          <w:color w:val="000000"/>
          <w:sz w:val="20"/>
          <w:szCs w:val="20"/>
        </w:rPr>
        <w:t xml:space="preserve"> and intersex people, including debates about renewing the Independent Expert SOGI’s mandate. Nonetheless, even the UN’s political forums are now recognising these human rights issues.</w:t>
      </w:r>
    </w:p>
    <w:p w14:paraId="70E9DAAF" w14:textId="77777777" w:rsidR="00BB5E45" w:rsidRPr="00BB5E45" w:rsidRDefault="00BB5E45" w:rsidP="00F867C2">
      <w:pPr>
        <w:pStyle w:val="Heading2"/>
        <w:numPr>
          <w:ilvl w:val="0"/>
          <w:numId w:val="21"/>
        </w:numPr>
        <w:tabs>
          <w:tab w:val="num" w:pos="720"/>
        </w:tabs>
        <w:ind w:left="709" w:hanging="425"/>
        <w:jc w:val="both"/>
        <w:textAlignment w:val="baseline"/>
        <w:rPr>
          <w:rFonts w:asciiTheme="minorHAnsi" w:hAnsiTheme="minorHAnsi" w:cstheme="minorHAnsi"/>
          <w:i/>
          <w:iCs/>
          <w:color w:val="000000"/>
          <w:sz w:val="20"/>
          <w:szCs w:val="20"/>
        </w:rPr>
      </w:pPr>
      <w:r w:rsidRPr="00BB5E45">
        <w:rPr>
          <w:rFonts w:asciiTheme="minorHAnsi" w:hAnsiTheme="minorHAnsi" w:cstheme="minorHAnsi"/>
          <w:b w:val="0"/>
          <w:bCs w:val="0"/>
          <w:i/>
          <w:iCs/>
          <w:color w:val="000000"/>
          <w:sz w:val="20"/>
          <w:szCs w:val="20"/>
        </w:rPr>
        <w:t>UN international conferences</w:t>
      </w:r>
    </w:p>
    <w:p w14:paraId="3D888D63" w14:textId="75516820" w:rsidR="00BB5E45" w:rsidRPr="00BB5E45" w:rsidRDefault="00BB5E45" w:rsidP="00F867C2">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The first forums in which human rights issues in relation to sexual orientation were raised were UN international conferences, starting with the Third World Conference on Women, in Nairobi, Kenya in1985. This was followed by the second World Conference on Human Rights in Vienna, Austria, in 1993 and the Beijing World Conference on Women in 1995. </w:t>
      </w:r>
    </w:p>
    <w:p w14:paraId="3AA4DFBD" w14:textId="77777777" w:rsidR="00BB5E45" w:rsidRPr="00BB5E45" w:rsidRDefault="00BB5E45" w:rsidP="00BB5E45">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These forums are far more open than the official UN bodies and there are more opportunities for statements to canvass relevant issues widely. Attempts to include a reference to sexual orientation in UN General Assembly Special Sessions in 2000 and 2001 were not successful, but the tide was turning. </w:t>
      </w:r>
    </w:p>
    <w:p w14:paraId="62282828" w14:textId="77777777" w:rsidR="00BB5E45" w:rsidRPr="00BB5E45" w:rsidRDefault="00BB5E45" w:rsidP="00BB5E45">
      <w:pPr>
        <w:pStyle w:val="Heading2"/>
        <w:numPr>
          <w:ilvl w:val="0"/>
          <w:numId w:val="22"/>
        </w:numPr>
        <w:ind w:left="630"/>
        <w:jc w:val="both"/>
        <w:textAlignment w:val="baseline"/>
        <w:rPr>
          <w:rFonts w:asciiTheme="minorHAnsi" w:hAnsiTheme="minorHAnsi" w:cstheme="minorHAnsi"/>
          <w:i/>
          <w:iCs/>
          <w:color w:val="000000"/>
          <w:sz w:val="20"/>
          <w:szCs w:val="20"/>
        </w:rPr>
      </w:pPr>
      <w:r w:rsidRPr="00BB5E45">
        <w:rPr>
          <w:rFonts w:asciiTheme="minorHAnsi" w:hAnsiTheme="minorHAnsi" w:cstheme="minorHAnsi"/>
          <w:b w:val="0"/>
          <w:bCs w:val="0"/>
          <w:i/>
          <w:iCs/>
          <w:color w:val="000000"/>
          <w:sz w:val="20"/>
          <w:szCs w:val="20"/>
        </w:rPr>
        <w:t>The Human Rights Council’s Universal Periodic Review </w:t>
      </w:r>
    </w:p>
    <w:p w14:paraId="4BFECF17" w14:textId="52D000B3" w:rsidR="00BB5E45" w:rsidRPr="00BB5E45" w:rsidRDefault="00BB5E45" w:rsidP="00F867C2">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 xml:space="preserve">The Commission on Human Rights was established in 1946 as the </w:t>
      </w:r>
      <w:r w:rsidR="00474151" w:rsidRPr="00BB5E45">
        <w:rPr>
          <w:rFonts w:asciiTheme="minorHAnsi" w:hAnsiTheme="minorHAnsi" w:cstheme="minorHAnsi"/>
          <w:color w:val="000000"/>
          <w:sz w:val="20"/>
          <w:szCs w:val="20"/>
        </w:rPr>
        <w:t>highest-ranking</w:t>
      </w:r>
      <w:r w:rsidRPr="00BB5E45">
        <w:rPr>
          <w:rFonts w:asciiTheme="minorHAnsi" w:hAnsiTheme="minorHAnsi" w:cstheme="minorHAnsi"/>
          <w:color w:val="000000"/>
          <w:sz w:val="20"/>
          <w:szCs w:val="20"/>
        </w:rPr>
        <w:t xml:space="preserve"> UN forum with specialised responsibility for human rights. It was succeeded by the Human Rights Council in 2006, through a resolution of the UN General Assembly.</w:t>
      </w:r>
    </w:p>
    <w:p w14:paraId="14AD240A" w14:textId="6CC4C0BC" w:rsidR="00BB5E45" w:rsidRPr="00BB5E45" w:rsidRDefault="00BB5E45" w:rsidP="00F867C2">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Under the Universal Periodic Review (UPR) the Human Rights Council reviews the human rights performance of each UN member State individually over a cycle of four and a half years. It is now completing its third cycle, covering the period from 2017 until 2022.</w:t>
      </w:r>
    </w:p>
    <w:p w14:paraId="514C51AC" w14:textId="5322E53B" w:rsidR="00BB5E45" w:rsidRPr="00BB5E45" w:rsidRDefault="00BB5E45" w:rsidP="00BB5E45">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By the end of each UPR period, all 193 member States will have been reviewed. The review is based on: </w:t>
      </w:r>
    </w:p>
    <w:p w14:paraId="77E61C9B" w14:textId="77777777" w:rsidR="00BB5E45" w:rsidRPr="00BB5E45" w:rsidRDefault="00BB5E45" w:rsidP="00BB5E45">
      <w:pPr>
        <w:pStyle w:val="NormalWeb"/>
        <w:numPr>
          <w:ilvl w:val="0"/>
          <w:numId w:val="23"/>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the UN Charter </w:t>
      </w:r>
    </w:p>
    <w:p w14:paraId="51E46071" w14:textId="77777777" w:rsidR="00BB5E45" w:rsidRPr="00BB5E45" w:rsidRDefault="00BB5E45" w:rsidP="00BB5E45">
      <w:pPr>
        <w:pStyle w:val="NormalWeb"/>
        <w:numPr>
          <w:ilvl w:val="0"/>
          <w:numId w:val="23"/>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the Universal Declaration of Human Rights </w:t>
      </w:r>
    </w:p>
    <w:p w14:paraId="4154ABE3" w14:textId="77777777" w:rsidR="00BB5E45" w:rsidRPr="00BB5E45" w:rsidRDefault="00BB5E45" w:rsidP="00BB5E45">
      <w:pPr>
        <w:pStyle w:val="NormalWeb"/>
        <w:numPr>
          <w:ilvl w:val="0"/>
          <w:numId w:val="23"/>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human rights instruments to which the State is party and</w:t>
      </w:r>
    </w:p>
    <w:p w14:paraId="6852FF53" w14:textId="77777777" w:rsidR="00BB5E45" w:rsidRPr="00BB5E45" w:rsidRDefault="00BB5E45" w:rsidP="00BB5E45">
      <w:pPr>
        <w:pStyle w:val="NormalWeb"/>
        <w:numPr>
          <w:ilvl w:val="0"/>
          <w:numId w:val="23"/>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voluntary pledges and commitments made by the State.</w:t>
      </w:r>
    </w:p>
    <w:p w14:paraId="531A0784" w14:textId="77777777" w:rsidR="00BB5E45" w:rsidRPr="00BB5E45" w:rsidRDefault="00BB5E45" w:rsidP="00BB5E45">
      <w:pPr>
        <w:spacing w:before="240" w:after="120"/>
        <w:jc w:val="both"/>
        <w:rPr>
          <w:rFonts w:asciiTheme="minorHAnsi" w:hAnsiTheme="minorHAnsi" w:cstheme="minorHAnsi"/>
          <w:sz w:val="20"/>
          <w:szCs w:val="20"/>
        </w:rPr>
      </w:pPr>
    </w:p>
    <w:p w14:paraId="289F302A" w14:textId="77777777" w:rsidR="00BB5E45" w:rsidRPr="00BB5E45" w:rsidRDefault="00BB5E45" w:rsidP="00BB5E45">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The process involves: </w:t>
      </w:r>
    </w:p>
    <w:p w14:paraId="7E079398" w14:textId="77777777" w:rsidR="00BB5E45" w:rsidRPr="00BB5E45" w:rsidRDefault="00BB5E45" w:rsidP="00BB5E45">
      <w:pPr>
        <w:pStyle w:val="NormalWeb"/>
        <w:numPr>
          <w:ilvl w:val="0"/>
          <w:numId w:val="24"/>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the collection of reports and information from the State under review, UN agencies and other stakeholders, including NHRIs and NGOs </w:t>
      </w:r>
    </w:p>
    <w:p w14:paraId="03B63458" w14:textId="77777777" w:rsidR="00BB5E45" w:rsidRPr="00BB5E45" w:rsidRDefault="00BB5E45" w:rsidP="00BB5E45">
      <w:pPr>
        <w:pStyle w:val="NormalWeb"/>
        <w:numPr>
          <w:ilvl w:val="0"/>
          <w:numId w:val="24"/>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an interactive dialogue with the State under review where other States can ask questions and make recommendations to the State under review </w:t>
      </w:r>
    </w:p>
    <w:p w14:paraId="0002CCD8" w14:textId="77777777" w:rsidR="00BB5E45" w:rsidRPr="00BB5E45" w:rsidRDefault="00BB5E45" w:rsidP="00BB5E45">
      <w:pPr>
        <w:pStyle w:val="NormalWeb"/>
        <w:numPr>
          <w:ilvl w:val="0"/>
          <w:numId w:val="24"/>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a report on the dialogue </w:t>
      </w:r>
    </w:p>
    <w:p w14:paraId="067928C7" w14:textId="77777777" w:rsidR="00BB5E45" w:rsidRPr="00BB5E45" w:rsidRDefault="00BB5E45" w:rsidP="00BB5E45">
      <w:pPr>
        <w:pStyle w:val="NormalWeb"/>
        <w:numPr>
          <w:ilvl w:val="0"/>
          <w:numId w:val="24"/>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the adoption of the report in a plenary session of the Human Rights Council, during which “A status” NHRIs and accredited NGOs can comment on the report </w:t>
      </w:r>
    </w:p>
    <w:p w14:paraId="2A78CD43" w14:textId="5040930B" w:rsidR="00BB5E45" w:rsidRPr="00E53FB9" w:rsidRDefault="00BB5E45" w:rsidP="00BB5E45">
      <w:pPr>
        <w:pStyle w:val="NormalWeb"/>
        <w:numPr>
          <w:ilvl w:val="0"/>
          <w:numId w:val="24"/>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lastRenderedPageBreak/>
        <w:t>a response from the State under review, indicating which recommendations in the report it accepts fully or partly and which it rejects.</w:t>
      </w:r>
    </w:p>
    <w:p w14:paraId="5032A4A1" w14:textId="48C24A5D" w:rsidR="00BB5E45" w:rsidRPr="00BB5E45" w:rsidRDefault="00BB5E45" w:rsidP="00F867C2">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 xml:space="preserve">The UPR process has resulted in </w:t>
      </w:r>
      <w:proofErr w:type="gramStart"/>
      <w:r w:rsidRPr="00BB5E45">
        <w:rPr>
          <w:rFonts w:asciiTheme="minorHAnsi" w:hAnsiTheme="minorHAnsi" w:cstheme="minorHAnsi"/>
          <w:color w:val="000000"/>
          <w:sz w:val="20"/>
          <w:szCs w:val="20"/>
        </w:rPr>
        <w:t>a large number of</w:t>
      </w:r>
      <w:proofErr w:type="gramEnd"/>
      <w:r w:rsidRPr="00BB5E45">
        <w:rPr>
          <w:rFonts w:asciiTheme="minorHAnsi" w:hAnsiTheme="minorHAnsi" w:cstheme="minorHAnsi"/>
          <w:color w:val="000000"/>
          <w:sz w:val="20"/>
          <w:szCs w:val="20"/>
        </w:rPr>
        <w:t xml:space="preserve"> recommendations to States on human rights in relation to sexual orientation, and to a much lesser extent gender identity. When the APF manual on protecting and protecting human rights in relation to SOGISC was written in 2015, no States had made recommendations concerning sex characteristics. These significant gaps have only recently started to be filled, largely due to the advocacy of civil society organisations. </w:t>
      </w:r>
    </w:p>
    <w:p w14:paraId="41E28BA1" w14:textId="1481A59E" w:rsidR="00BB5E45" w:rsidRDefault="00BB5E45" w:rsidP="00BB5E45">
      <w:pPr>
        <w:pStyle w:val="NormalWeb"/>
        <w:spacing w:before="240" w:beforeAutospacing="0" w:after="120" w:afterAutospacing="0"/>
        <w:jc w:val="both"/>
        <w:rPr>
          <w:rFonts w:asciiTheme="minorHAnsi" w:hAnsiTheme="minorHAnsi" w:cstheme="minorHAnsi"/>
          <w:color w:val="000000"/>
          <w:sz w:val="20"/>
          <w:szCs w:val="20"/>
        </w:rPr>
      </w:pPr>
      <w:r w:rsidRPr="00BB5E45">
        <w:rPr>
          <w:rFonts w:asciiTheme="minorHAnsi" w:hAnsiTheme="minorHAnsi" w:cstheme="minorHAnsi"/>
          <w:color w:val="000000"/>
          <w:sz w:val="20"/>
          <w:szCs w:val="20"/>
        </w:rPr>
        <w:t>For example, in 2019, New Zealand received its first three UPR recommendations on SOGIESC issues, all relating to the human rights of intersex and transgender people. Chile recommended that New Zealand ended medical procedures performed on intersex people without their consent. Iceland and Australia recommended that anti-discrimination protections be extended to explicitly include gender identity, gender expression and sex characteristics. </w:t>
      </w:r>
    </w:p>
    <w:p w14:paraId="4CBB47E9" w14:textId="77777777" w:rsidR="00E53FB9" w:rsidRPr="00BB5E45" w:rsidRDefault="00E53FB9" w:rsidP="00BB5E45">
      <w:pPr>
        <w:pStyle w:val="NormalWeb"/>
        <w:spacing w:before="240" w:beforeAutospacing="0" w:after="120" w:afterAutospacing="0"/>
        <w:jc w:val="both"/>
        <w:rPr>
          <w:rFonts w:asciiTheme="minorHAnsi" w:hAnsiTheme="minorHAnsi" w:cstheme="minorHAnsi"/>
          <w:sz w:val="20"/>
          <w:szCs w:val="20"/>
        </w:rPr>
      </w:pPr>
    </w:p>
    <w:p w14:paraId="0BE5324B" w14:textId="02CE5B37" w:rsidR="00E53FB9" w:rsidRPr="00E53FB9" w:rsidRDefault="00BB5E45" w:rsidP="00E53FB9">
      <w:pPr>
        <w:numPr>
          <w:ilvl w:val="0"/>
          <w:numId w:val="11"/>
        </w:numPr>
        <w:tabs>
          <w:tab w:val="clear" w:pos="720"/>
        </w:tabs>
        <w:spacing w:after="120"/>
        <w:ind w:left="426" w:hanging="426"/>
        <w:rPr>
          <w:rFonts w:asciiTheme="majorHAnsi" w:hAnsiTheme="majorHAnsi" w:cstheme="majorHAnsi"/>
          <w:b/>
          <w:bCs/>
          <w:color w:val="808285"/>
          <w:sz w:val="23"/>
          <w:szCs w:val="23"/>
          <w:shd w:val="clear" w:color="auto" w:fill="FFFFFF"/>
        </w:rPr>
      </w:pPr>
      <w:r w:rsidRPr="00E53FB9">
        <w:rPr>
          <w:rStyle w:val="normaltextrun"/>
          <w:rFonts w:asciiTheme="majorHAnsi" w:hAnsiTheme="majorHAnsi" w:cstheme="majorHAnsi"/>
          <w:b/>
          <w:bCs/>
          <w:color w:val="808285"/>
          <w:sz w:val="23"/>
          <w:szCs w:val="23"/>
        </w:rPr>
        <w:t>Regional perspective on human rights law: Asia Pacific</w:t>
      </w:r>
    </w:p>
    <w:p w14:paraId="674C5BF0" w14:textId="3AD39096" w:rsidR="00BB5E45" w:rsidRPr="00BB5E45" w:rsidRDefault="00BB5E45" w:rsidP="00F867C2">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 xml:space="preserve">Uniquely among the world’s regions, the Asia Pacific has no regional human rights treaty, </w:t>
      </w:r>
      <w:proofErr w:type="gramStart"/>
      <w:r w:rsidRPr="00BB5E45">
        <w:rPr>
          <w:rFonts w:asciiTheme="minorHAnsi" w:hAnsiTheme="minorHAnsi" w:cstheme="minorHAnsi"/>
          <w:color w:val="000000"/>
          <w:sz w:val="20"/>
          <w:szCs w:val="20"/>
        </w:rPr>
        <w:t>court</w:t>
      </w:r>
      <w:proofErr w:type="gramEnd"/>
      <w:r w:rsidRPr="00BB5E45">
        <w:rPr>
          <w:rFonts w:asciiTheme="minorHAnsi" w:hAnsiTheme="minorHAnsi" w:cstheme="minorHAnsi"/>
          <w:color w:val="000000"/>
          <w:sz w:val="20"/>
          <w:szCs w:val="20"/>
        </w:rPr>
        <w:t xml:space="preserve"> or protection system that people can turn to when their human rights are violated.</w:t>
      </w:r>
    </w:p>
    <w:p w14:paraId="1F560024" w14:textId="27A3A607" w:rsidR="00BB5E45" w:rsidRPr="00BB5E45" w:rsidRDefault="00BB5E45" w:rsidP="00F867C2">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 xml:space="preserve">In the ASEAN sub-region, the ASEAN Inter-Governmental Commission on Human Rights (AICHR), a “consultative intergovernmental body”, works to promote human rights within the region, including through enhanced regional cooperation. However, it is not comparable to the regional human rights institutions in other regions as it is not an independent </w:t>
      </w:r>
      <w:proofErr w:type="gramStart"/>
      <w:r w:rsidRPr="00BB5E45">
        <w:rPr>
          <w:rFonts w:asciiTheme="minorHAnsi" w:hAnsiTheme="minorHAnsi" w:cstheme="minorHAnsi"/>
          <w:color w:val="000000"/>
          <w:sz w:val="20"/>
          <w:szCs w:val="20"/>
        </w:rPr>
        <w:t>body</w:t>
      </w:r>
      <w:proofErr w:type="gramEnd"/>
      <w:r w:rsidRPr="00BB5E45">
        <w:rPr>
          <w:rFonts w:asciiTheme="minorHAnsi" w:hAnsiTheme="minorHAnsi" w:cstheme="minorHAnsi"/>
          <w:color w:val="000000"/>
          <w:sz w:val="20"/>
          <w:szCs w:val="20"/>
        </w:rPr>
        <w:t xml:space="preserve"> and it is not based on an underlying treaty. It therefore has no function or power to enforce specific rights and obligations, apart from a commitment to upholding universal human rights standards. Its terms of reference require it to “engage in dialogue and consultation” with a range of stakeholders, including NGOs and NHRIs.</w:t>
      </w:r>
    </w:p>
    <w:p w14:paraId="1F756FAA" w14:textId="6A9B9C45" w:rsidR="00F867C2" w:rsidRPr="00474151" w:rsidRDefault="00BB5E45" w:rsidP="00474151">
      <w:pPr>
        <w:pStyle w:val="NormalWeb"/>
        <w:spacing w:before="240" w:beforeAutospacing="0" w:after="120" w:afterAutospacing="0"/>
        <w:jc w:val="both"/>
        <w:rPr>
          <w:rFonts w:asciiTheme="minorHAnsi" w:hAnsiTheme="minorHAnsi" w:cstheme="minorHAnsi"/>
          <w:sz w:val="20"/>
          <w:szCs w:val="20"/>
        </w:rPr>
      </w:pPr>
      <w:r w:rsidRPr="00BB5E45">
        <w:rPr>
          <w:rFonts w:asciiTheme="minorHAnsi" w:hAnsiTheme="minorHAnsi" w:cstheme="minorHAnsi"/>
          <w:color w:val="000000"/>
          <w:sz w:val="20"/>
          <w:szCs w:val="20"/>
        </w:rPr>
        <w:t>In this regional context, the Asia Pacific Forum (APF) of National Human Rights Institutions makes a unique contribution. The APF is a coalition of NHRIs from all corners of the Asia and Pacific region. A fundamental goal of the APF is to support the establishment of independent NHRIs in the region and to strengthen its members to do the work of promoting and protecting human rights. The APF brings its members together and builds partnerships with others to tackle some of the most serious and complex human rights challenges facing our region. The APF has played a leadership role in the Asia Pacific in recognising and addressing human rights issues associated with sexual orientation, gender identity and expression and sex characteristics.</w:t>
      </w:r>
    </w:p>
    <w:p w14:paraId="1C4DAA50" w14:textId="2B52B84F" w:rsidR="00BB5E45" w:rsidRPr="00474151" w:rsidRDefault="00BB5E45" w:rsidP="00474151">
      <w:pPr>
        <w:pStyle w:val="Heading1"/>
        <w:rPr>
          <w:rFonts w:asciiTheme="majorHAnsi" w:hAnsiTheme="majorHAnsi" w:cstheme="majorHAnsi"/>
        </w:rPr>
      </w:pPr>
      <w:r w:rsidRPr="00474151">
        <w:rPr>
          <w:rFonts w:asciiTheme="majorHAnsi" w:hAnsiTheme="majorHAnsi" w:cstheme="majorHAnsi"/>
        </w:rPr>
        <w:t>Key points </w:t>
      </w:r>
    </w:p>
    <w:p w14:paraId="6A8B92FB" w14:textId="77777777" w:rsidR="00BB5E45" w:rsidRPr="00BB5E45" w:rsidRDefault="00BB5E45" w:rsidP="00BB5E45">
      <w:pPr>
        <w:pStyle w:val="NormalWeb"/>
        <w:numPr>
          <w:ilvl w:val="0"/>
          <w:numId w:val="26"/>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In all countries in all regions people experience human rights violations based on their sexual orientation, gender identity and sex characteristics. </w:t>
      </w:r>
    </w:p>
    <w:p w14:paraId="079291CF" w14:textId="77777777" w:rsidR="00BB5E45" w:rsidRPr="00BB5E45" w:rsidRDefault="00BB5E45" w:rsidP="00BB5E45">
      <w:pPr>
        <w:pStyle w:val="NormalWeb"/>
        <w:numPr>
          <w:ilvl w:val="0"/>
          <w:numId w:val="26"/>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 xml:space="preserve">Although there is no specific reference to sexual orientation, gender identity or expression or sex characteristics in international human rights instruments, there can no longer be any doubt that the provisions of international human rights law extend in full to all people, including lesbian, gay, bisexual, </w:t>
      </w:r>
      <w:proofErr w:type="gramStart"/>
      <w:r w:rsidRPr="00BB5E45">
        <w:rPr>
          <w:rFonts w:asciiTheme="minorHAnsi" w:hAnsiTheme="minorHAnsi" w:cstheme="minorHAnsi"/>
          <w:color w:val="000000"/>
          <w:sz w:val="20"/>
          <w:szCs w:val="20"/>
        </w:rPr>
        <w:t>transgender</w:t>
      </w:r>
      <w:proofErr w:type="gramEnd"/>
      <w:r w:rsidRPr="00BB5E45">
        <w:rPr>
          <w:rFonts w:asciiTheme="minorHAnsi" w:hAnsiTheme="minorHAnsi" w:cstheme="minorHAnsi"/>
          <w:color w:val="000000"/>
          <w:sz w:val="20"/>
          <w:szCs w:val="20"/>
        </w:rPr>
        <w:t xml:space="preserve"> and intersex people. </w:t>
      </w:r>
    </w:p>
    <w:p w14:paraId="1CF077E3" w14:textId="77777777" w:rsidR="00BB5E45" w:rsidRPr="00BB5E45" w:rsidRDefault="00BB5E45" w:rsidP="00BB5E45">
      <w:pPr>
        <w:pStyle w:val="NormalWeb"/>
        <w:numPr>
          <w:ilvl w:val="0"/>
          <w:numId w:val="26"/>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This is the unanimous view of international human rights experts, expressed by the jurisprudence, general comments and concluding observations of human rights treaty monitoring bodies, the reports of the UN special procedures, resolutions of the Human Rights Council, decisions of regional human rights courts and resolutions of regional human rights commissions and mechanisms. </w:t>
      </w:r>
    </w:p>
    <w:p w14:paraId="5033F018" w14:textId="77777777" w:rsidR="00BB5E45" w:rsidRPr="00BB5E45" w:rsidRDefault="00BB5E45" w:rsidP="00BB5E45">
      <w:pPr>
        <w:pStyle w:val="NormalWeb"/>
        <w:numPr>
          <w:ilvl w:val="0"/>
          <w:numId w:val="26"/>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lastRenderedPageBreak/>
        <w:t xml:space="preserve">The prohibition of discrimination </w:t>
      </w:r>
      <w:proofErr w:type="gramStart"/>
      <w:r w:rsidRPr="00BB5E45">
        <w:rPr>
          <w:rFonts w:asciiTheme="minorHAnsi" w:hAnsiTheme="minorHAnsi" w:cstheme="minorHAnsi"/>
          <w:color w:val="000000"/>
          <w:sz w:val="20"/>
          <w:szCs w:val="20"/>
        </w:rPr>
        <w:t>on the basis of</w:t>
      </w:r>
      <w:proofErr w:type="gramEnd"/>
      <w:r w:rsidRPr="00BB5E45">
        <w:rPr>
          <w:rFonts w:asciiTheme="minorHAnsi" w:hAnsiTheme="minorHAnsi" w:cstheme="minorHAnsi"/>
          <w:color w:val="000000"/>
          <w:sz w:val="20"/>
          <w:szCs w:val="20"/>
        </w:rPr>
        <w:t xml:space="preserve"> ‘other status’ in international human rights law is properly considered to include sexual orientation, gender identity and expression, and sex characteristics. </w:t>
      </w:r>
    </w:p>
    <w:p w14:paraId="738E9E22" w14:textId="77777777" w:rsidR="00BB5E45" w:rsidRPr="00BB5E45" w:rsidRDefault="00BB5E45" w:rsidP="00BB5E45">
      <w:pPr>
        <w:pStyle w:val="NormalWeb"/>
        <w:numPr>
          <w:ilvl w:val="0"/>
          <w:numId w:val="26"/>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Lesbian, gay, bisexual, transgender and intersex people are as entitled as anyone else to the full protection of their human rights under international and national laws. </w:t>
      </w:r>
    </w:p>
    <w:p w14:paraId="41558140" w14:textId="77777777" w:rsidR="00BB5E45" w:rsidRPr="00BB5E45" w:rsidRDefault="00BB5E45" w:rsidP="00BB5E45">
      <w:pPr>
        <w:pStyle w:val="NormalWeb"/>
        <w:numPr>
          <w:ilvl w:val="0"/>
          <w:numId w:val="26"/>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 xml:space="preserve">As with all human rights, every State has legal obligations to respect, protect and fulfil the human rights of lesbian, gay, bisexual, </w:t>
      </w:r>
      <w:proofErr w:type="gramStart"/>
      <w:r w:rsidRPr="00BB5E45">
        <w:rPr>
          <w:rFonts w:asciiTheme="minorHAnsi" w:hAnsiTheme="minorHAnsi" w:cstheme="minorHAnsi"/>
          <w:color w:val="000000"/>
          <w:sz w:val="20"/>
          <w:szCs w:val="20"/>
        </w:rPr>
        <w:t>transgender</w:t>
      </w:r>
      <w:proofErr w:type="gramEnd"/>
      <w:r w:rsidRPr="00BB5E45">
        <w:rPr>
          <w:rFonts w:asciiTheme="minorHAnsi" w:hAnsiTheme="minorHAnsi" w:cstheme="minorHAnsi"/>
          <w:color w:val="000000"/>
          <w:sz w:val="20"/>
          <w:szCs w:val="20"/>
        </w:rPr>
        <w:t xml:space="preserve"> and intersex people. </w:t>
      </w:r>
    </w:p>
    <w:p w14:paraId="084C5AAE" w14:textId="77777777" w:rsidR="00BB5E45" w:rsidRPr="00BB5E45" w:rsidRDefault="00BB5E45" w:rsidP="00BB5E45">
      <w:pPr>
        <w:pStyle w:val="NormalWeb"/>
        <w:numPr>
          <w:ilvl w:val="0"/>
          <w:numId w:val="26"/>
        </w:numPr>
        <w:spacing w:before="240" w:beforeAutospacing="0" w:after="120" w:afterAutospacing="0"/>
        <w:jc w:val="both"/>
        <w:textAlignment w:val="baseline"/>
        <w:rPr>
          <w:rFonts w:asciiTheme="minorHAnsi" w:hAnsiTheme="minorHAnsi" w:cstheme="minorHAnsi"/>
          <w:color w:val="000000"/>
          <w:sz w:val="20"/>
          <w:szCs w:val="20"/>
        </w:rPr>
      </w:pPr>
      <w:r w:rsidRPr="00BB5E45">
        <w:rPr>
          <w:rFonts w:asciiTheme="minorHAnsi" w:hAnsiTheme="minorHAnsi" w:cstheme="minorHAnsi"/>
          <w:color w:val="000000"/>
          <w:sz w:val="20"/>
          <w:szCs w:val="20"/>
        </w:rPr>
        <w:t>There has been uneven but growing recognition of the rights of lesbian, gay, bisexual, transgender and intersex people within UN human rights mechanisms and these mechanisms have called, with increasing frequency and strength, for the promotion and protection of their rights.</w:t>
      </w:r>
    </w:p>
    <w:p w14:paraId="28EA2947" w14:textId="77777777" w:rsidR="0082495B" w:rsidRPr="00BB5E45" w:rsidRDefault="0082495B" w:rsidP="00BB5E45">
      <w:pPr>
        <w:spacing w:before="240" w:after="120"/>
        <w:jc w:val="both"/>
        <w:rPr>
          <w:rFonts w:asciiTheme="minorHAnsi" w:eastAsiaTheme="minorEastAsia" w:hAnsiTheme="minorHAnsi" w:cstheme="minorHAnsi"/>
          <w:sz w:val="20"/>
          <w:szCs w:val="20"/>
        </w:rPr>
      </w:pPr>
    </w:p>
    <w:sectPr w:rsidR="0082495B" w:rsidRPr="00BB5E45" w:rsidSect="0052571D">
      <w:footerReference w:type="default" r:id="rId12"/>
      <w:pgSz w:w="11906" w:h="16838"/>
      <w:pgMar w:top="136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8770" w14:textId="77777777" w:rsidR="0075347A" w:rsidRDefault="0075347A" w:rsidP="00B8744F">
      <w:r>
        <w:separator/>
      </w:r>
    </w:p>
  </w:endnote>
  <w:endnote w:type="continuationSeparator" w:id="0">
    <w:p w14:paraId="0F406322" w14:textId="77777777" w:rsidR="0075347A" w:rsidRDefault="0075347A" w:rsidP="00B8744F">
      <w:r>
        <w:continuationSeparator/>
      </w:r>
    </w:p>
  </w:endnote>
  <w:endnote w:type="continuationNotice" w:id="1">
    <w:p w14:paraId="737E5B4A" w14:textId="77777777" w:rsidR="0075347A" w:rsidRDefault="00753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33E" w14:textId="2E8E9682" w:rsidR="00B8744F" w:rsidRPr="00B8744F" w:rsidRDefault="00D54F59" w:rsidP="00B8744F">
    <w:pPr>
      <w:pStyle w:val="Footer"/>
      <w:tabs>
        <w:tab w:val="clear" w:pos="9026"/>
        <w:tab w:val="right" w:pos="9637"/>
      </w:tabs>
      <w:ind w:left="-567" w:right="-567"/>
    </w:pPr>
    <w:r>
      <w:rPr>
        <w:rStyle w:val="Strong"/>
      </w:rPr>
      <w:t>Sexual Orientation, Gender Identity, Expres</w:t>
    </w:r>
    <w:r w:rsidR="00D67790">
      <w:rPr>
        <w:rStyle w:val="Strong"/>
      </w:rPr>
      <w:t>s</w:t>
    </w:r>
    <w:r>
      <w:rPr>
        <w:rStyle w:val="Strong"/>
      </w:rPr>
      <w:t>ion and Sex Characteristics</w:t>
    </w:r>
    <w:r w:rsidR="00B8744F" w:rsidRPr="00B8744F">
      <w:rPr>
        <w:rStyle w:val="Strong"/>
      </w:rPr>
      <w:t xml:space="preserve"> Fact Sheet Series |</w:t>
    </w:r>
    <w:r w:rsidR="00B8744F" w:rsidRPr="00B8744F">
      <w:t xml:space="preserve"> Fact Sheet </w:t>
    </w:r>
    <w:r w:rsidR="009A609F">
      <w:t>5</w:t>
    </w:r>
    <w:r w:rsidR="00B8744F" w:rsidRPr="00B8744F">
      <w:t xml:space="preserve">: </w:t>
    </w:r>
    <w:r w:rsidR="00674F02">
      <w:t>International and regional developments in human rights law</w:t>
    </w:r>
    <w:r w:rsidR="00B8744F">
      <w:tab/>
    </w:r>
    <w:r w:rsidR="00B8744F" w:rsidRPr="00B8744F">
      <w:rPr>
        <w:rStyle w:val="PageNumber"/>
      </w:rPr>
      <w:fldChar w:fldCharType="begin"/>
    </w:r>
    <w:r w:rsidR="00B8744F" w:rsidRPr="00B8744F">
      <w:rPr>
        <w:rStyle w:val="PageNumber"/>
      </w:rPr>
      <w:instrText xml:space="preserve"> PAGE   \* MERGEFORMAT </w:instrText>
    </w:r>
    <w:r w:rsidR="00B8744F" w:rsidRPr="00B8744F">
      <w:rPr>
        <w:rStyle w:val="PageNumber"/>
      </w:rPr>
      <w:fldChar w:fldCharType="separate"/>
    </w:r>
    <w:r w:rsidR="00B8744F" w:rsidRPr="00B8744F">
      <w:rPr>
        <w:rStyle w:val="PageNumber"/>
      </w:rPr>
      <w:t>1</w:t>
    </w:r>
    <w:r w:rsidR="00B8744F" w:rsidRPr="00B8744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89C2" w14:textId="77777777" w:rsidR="0075347A" w:rsidRDefault="0075347A" w:rsidP="00B8744F"/>
  </w:footnote>
  <w:footnote w:type="continuationSeparator" w:id="0">
    <w:p w14:paraId="53327D2F" w14:textId="77777777" w:rsidR="0075347A" w:rsidRDefault="0075347A" w:rsidP="00B8744F">
      <w:r>
        <w:continuationSeparator/>
      </w:r>
    </w:p>
  </w:footnote>
  <w:footnote w:type="continuationNotice" w:id="1">
    <w:p w14:paraId="40A4E1E3" w14:textId="77777777" w:rsidR="0075347A" w:rsidRDefault="007534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2A70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A67C1"/>
    <w:multiLevelType w:val="multilevel"/>
    <w:tmpl w:val="6526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805969"/>
    <w:multiLevelType w:val="hybridMultilevel"/>
    <w:tmpl w:val="D49C2384"/>
    <w:lvl w:ilvl="0" w:tplc="C542E6B4">
      <w:start w:val="2"/>
      <w:numFmt w:val="lowerLetter"/>
      <w:lvlText w:val="%1."/>
      <w:lvlJc w:val="left"/>
      <w:pPr>
        <w:tabs>
          <w:tab w:val="num" w:pos="720"/>
        </w:tabs>
        <w:ind w:left="720" w:hanging="360"/>
      </w:pPr>
    </w:lvl>
    <w:lvl w:ilvl="1" w:tplc="21C626D0" w:tentative="1">
      <w:start w:val="1"/>
      <w:numFmt w:val="decimal"/>
      <w:lvlText w:val="%2."/>
      <w:lvlJc w:val="left"/>
      <w:pPr>
        <w:tabs>
          <w:tab w:val="num" w:pos="1440"/>
        </w:tabs>
        <w:ind w:left="1440" w:hanging="360"/>
      </w:pPr>
    </w:lvl>
    <w:lvl w:ilvl="2" w:tplc="5F6AEF82" w:tentative="1">
      <w:start w:val="1"/>
      <w:numFmt w:val="decimal"/>
      <w:lvlText w:val="%3."/>
      <w:lvlJc w:val="left"/>
      <w:pPr>
        <w:tabs>
          <w:tab w:val="num" w:pos="2160"/>
        </w:tabs>
        <w:ind w:left="2160" w:hanging="360"/>
      </w:pPr>
    </w:lvl>
    <w:lvl w:ilvl="3" w:tplc="D63076AC" w:tentative="1">
      <w:start w:val="1"/>
      <w:numFmt w:val="decimal"/>
      <w:lvlText w:val="%4."/>
      <w:lvlJc w:val="left"/>
      <w:pPr>
        <w:tabs>
          <w:tab w:val="num" w:pos="2880"/>
        </w:tabs>
        <w:ind w:left="2880" w:hanging="360"/>
      </w:pPr>
    </w:lvl>
    <w:lvl w:ilvl="4" w:tplc="3566EEDC" w:tentative="1">
      <w:start w:val="1"/>
      <w:numFmt w:val="decimal"/>
      <w:lvlText w:val="%5."/>
      <w:lvlJc w:val="left"/>
      <w:pPr>
        <w:tabs>
          <w:tab w:val="num" w:pos="3600"/>
        </w:tabs>
        <w:ind w:left="3600" w:hanging="360"/>
      </w:pPr>
    </w:lvl>
    <w:lvl w:ilvl="5" w:tplc="1E340C88" w:tentative="1">
      <w:start w:val="1"/>
      <w:numFmt w:val="decimal"/>
      <w:lvlText w:val="%6."/>
      <w:lvlJc w:val="left"/>
      <w:pPr>
        <w:tabs>
          <w:tab w:val="num" w:pos="4320"/>
        </w:tabs>
        <w:ind w:left="4320" w:hanging="360"/>
      </w:pPr>
    </w:lvl>
    <w:lvl w:ilvl="6" w:tplc="27843EF2" w:tentative="1">
      <w:start w:val="1"/>
      <w:numFmt w:val="decimal"/>
      <w:lvlText w:val="%7."/>
      <w:lvlJc w:val="left"/>
      <w:pPr>
        <w:tabs>
          <w:tab w:val="num" w:pos="5040"/>
        </w:tabs>
        <w:ind w:left="5040" w:hanging="360"/>
      </w:pPr>
    </w:lvl>
    <w:lvl w:ilvl="7" w:tplc="502623BC" w:tentative="1">
      <w:start w:val="1"/>
      <w:numFmt w:val="decimal"/>
      <w:lvlText w:val="%8."/>
      <w:lvlJc w:val="left"/>
      <w:pPr>
        <w:tabs>
          <w:tab w:val="num" w:pos="5760"/>
        </w:tabs>
        <w:ind w:left="5760" w:hanging="360"/>
      </w:pPr>
    </w:lvl>
    <w:lvl w:ilvl="8" w:tplc="5078A4AC" w:tentative="1">
      <w:start w:val="1"/>
      <w:numFmt w:val="decimal"/>
      <w:lvlText w:val="%9."/>
      <w:lvlJc w:val="left"/>
      <w:pPr>
        <w:tabs>
          <w:tab w:val="num" w:pos="6480"/>
        </w:tabs>
        <w:ind w:left="6480" w:hanging="360"/>
      </w:pPr>
    </w:lvl>
  </w:abstractNum>
  <w:abstractNum w:abstractNumId="4" w15:restartNumberingAfterBreak="0">
    <w:nsid w:val="13AF6683"/>
    <w:multiLevelType w:val="multilevel"/>
    <w:tmpl w:val="E768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71BB7"/>
    <w:multiLevelType w:val="multilevel"/>
    <w:tmpl w:val="D90C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F4890"/>
    <w:multiLevelType w:val="multilevel"/>
    <w:tmpl w:val="FAD0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72C28"/>
    <w:multiLevelType w:val="multilevel"/>
    <w:tmpl w:val="69BC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B100B"/>
    <w:multiLevelType w:val="hybridMultilevel"/>
    <w:tmpl w:val="6E506E80"/>
    <w:lvl w:ilvl="0" w:tplc="80666CCA">
      <w:start w:val="3"/>
      <w:numFmt w:val="lowerLetter"/>
      <w:lvlText w:val="%1."/>
      <w:lvlJc w:val="left"/>
      <w:pPr>
        <w:tabs>
          <w:tab w:val="num" w:pos="720"/>
        </w:tabs>
        <w:ind w:left="720" w:hanging="360"/>
      </w:pPr>
    </w:lvl>
    <w:lvl w:ilvl="1" w:tplc="F36AAC1E" w:tentative="1">
      <w:start w:val="1"/>
      <w:numFmt w:val="decimal"/>
      <w:lvlText w:val="%2."/>
      <w:lvlJc w:val="left"/>
      <w:pPr>
        <w:tabs>
          <w:tab w:val="num" w:pos="1440"/>
        </w:tabs>
        <w:ind w:left="1440" w:hanging="360"/>
      </w:pPr>
    </w:lvl>
    <w:lvl w:ilvl="2" w:tplc="A680E630" w:tentative="1">
      <w:start w:val="1"/>
      <w:numFmt w:val="decimal"/>
      <w:lvlText w:val="%3."/>
      <w:lvlJc w:val="left"/>
      <w:pPr>
        <w:tabs>
          <w:tab w:val="num" w:pos="2160"/>
        </w:tabs>
        <w:ind w:left="2160" w:hanging="360"/>
      </w:pPr>
    </w:lvl>
    <w:lvl w:ilvl="3" w:tplc="40F083E4" w:tentative="1">
      <w:start w:val="1"/>
      <w:numFmt w:val="decimal"/>
      <w:lvlText w:val="%4."/>
      <w:lvlJc w:val="left"/>
      <w:pPr>
        <w:tabs>
          <w:tab w:val="num" w:pos="2880"/>
        </w:tabs>
        <w:ind w:left="2880" w:hanging="360"/>
      </w:pPr>
    </w:lvl>
    <w:lvl w:ilvl="4" w:tplc="334C582A" w:tentative="1">
      <w:start w:val="1"/>
      <w:numFmt w:val="decimal"/>
      <w:lvlText w:val="%5."/>
      <w:lvlJc w:val="left"/>
      <w:pPr>
        <w:tabs>
          <w:tab w:val="num" w:pos="3600"/>
        </w:tabs>
        <w:ind w:left="3600" w:hanging="360"/>
      </w:pPr>
    </w:lvl>
    <w:lvl w:ilvl="5" w:tplc="BE8CA58E" w:tentative="1">
      <w:start w:val="1"/>
      <w:numFmt w:val="decimal"/>
      <w:lvlText w:val="%6."/>
      <w:lvlJc w:val="left"/>
      <w:pPr>
        <w:tabs>
          <w:tab w:val="num" w:pos="4320"/>
        </w:tabs>
        <w:ind w:left="4320" w:hanging="360"/>
      </w:pPr>
    </w:lvl>
    <w:lvl w:ilvl="6" w:tplc="AEC67680" w:tentative="1">
      <w:start w:val="1"/>
      <w:numFmt w:val="decimal"/>
      <w:lvlText w:val="%7."/>
      <w:lvlJc w:val="left"/>
      <w:pPr>
        <w:tabs>
          <w:tab w:val="num" w:pos="5040"/>
        </w:tabs>
        <w:ind w:left="5040" w:hanging="360"/>
      </w:pPr>
    </w:lvl>
    <w:lvl w:ilvl="7" w:tplc="91168464" w:tentative="1">
      <w:start w:val="1"/>
      <w:numFmt w:val="decimal"/>
      <w:lvlText w:val="%8."/>
      <w:lvlJc w:val="left"/>
      <w:pPr>
        <w:tabs>
          <w:tab w:val="num" w:pos="5760"/>
        </w:tabs>
        <w:ind w:left="5760" w:hanging="360"/>
      </w:pPr>
    </w:lvl>
    <w:lvl w:ilvl="8" w:tplc="70D8A626" w:tentative="1">
      <w:start w:val="1"/>
      <w:numFmt w:val="decimal"/>
      <w:lvlText w:val="%9."/>
      <w:lvlJc w:val="left"/>
      <w:pPr>
        <w:tabs>
          <w:tab w:val="num" w:pos="6480"/>
        </w:tabs>
        <w:ind w:left="6480" w:hanging="360"/>
      </w:pPr>
    </w:lvl>
  </w:abstractNum>
  <w:abstractNum w:abstractNumId="9" w15:restartNumberingAfterBreak="0">
    <w:nsid w:val="275D48F3"/>
    <w:multiLevelType w:val="hybridMultilevel"/>
    <w:tmpl w:val="CB1EBA06"/>
    <w:lvl w:ilvl="0" w:tplc="27E024D6">
      <w:start w:val="4"/>
      <w:numFmt w:val="lowerLetter"/>
      <w:lvlText w:val="%1."/>
      <w:lvlJc w:val="left"/>
      <w:pPr>
        <w:tabs>
          <w:tab w:val="num" w:pos="720"/>
        </w:tabs>
        <w:ind w:left="720" w:hanging="360"/>
      </w:pPr>
    </w:lvl>
    <w:lvl w:ilvl="1" w:tplc="AF5E5976" w:tentative="1">
      <w:start w:val="1"/>
      <w:numFmt w:val="decimal"/>
      <w:lvlText w:val="%2."/>
      <w:lvlJc w:val="left"/>
      <w:pPr>
        <w:tabs>
          <w:tab w:val="num" w:pos="1440"/>
        </w:tabs>
        <w:ind w:left="1440" w:hanging="360"/>
      </w:pPr>
    </w:lvl>
    <w:lvl w:ilvl="2" w:tplc="86808752" w:tentative="1">
      <w:start w:val="1"/>
      <w:numFmt w:val="decimal"/>
      <w:lvlText w:val="%3."/>
      <w:lvlJc w:val="left"/>
      <w:pPr>
        <w:tabs>
          <w:tab w:val="num" w:pos="2160"/>
        </w:tabs>
        <w:ind w:left="2160" w:hanging="360"/>
      </w:pPr>
    </w:lvl>
    <w:lvl w:ilvl="3" w:tplc="BBC298E2" w:tentative="1">
      <w:start w:val="1"/>
      <w:numFmt w:val="decimal"/>
      <w:lvlText w:val="%4."/>
      <w:lvlJc w:val="left"/>
      <w:pPr>
        <w:tabs>
          <w:tab w:val="num" w:pos="2880"/>
        </w:tabs>
        <w:ind w:left="2880" w:hanging="360"/>
      </w:pPr>
    </w:lvl>
    <w:lvl w:ilvl="4" w:tplc="C4E2BB60" w:tentative="1">
      <w:start w:val="1"/>
      <w:numFmt w:val="decimal"/>
      <w:lvlText w:val="%5."/>
      <w:lvlJc w:val="left"/>
      <w:pPr>
        <w:tabs>
          <w:tab w:val="num" w:pos="3600"/>
        </w:tabs>
        <w:ind w:left="3600" w:hanging="360"/>
      </w:pPr>
    </w:lvl>
    <w:lvl w:ilvl="5" w:tplc="0098427A" w:tentative="1">
      <w:start w:val="1"/>
      <w:numFmt w:val="decimal"/>
      <w:lvlText w:val="%6."/>
      <w:lvlJc w:val="left"/>
      <w:pPr>
        <w:tabs>
          <w:tab w:val="num" w:pos="4320"/>
        </w:tabs>
        <w:ind w:left="4320" w:hanging="360"/>
      </w:pPr>
    </w:lvl>
    <w:lvl w:ilvl="6" w:tplc="D1D20BE0" w:tentative="1">
      <w:start w:val="1"/>
      <w:numFmt w:val="decimal"/>
      <w:lvlText w:val="%7."/>
      <w:lvlJc w:val="left"/>
      <w:pPr>
        <w:tabs>
          <w:tab w:val="num" w:pos="5040"/>
        </w:tabs>
        <w:ind w:left="5040" w:hanging="360"/>
      </w:pPr>
    </w:lvl>
    <w:lvl w:ilvl="7" w:tplc="CC2A2206" w:tentative="1">
      <w:start w:val="1"/>
      <w:numFmt w:val="decimal"/>
      <w:lvlText w:val="%8."/>
      <w:lvlJc w:val="left"/>
      <w:pPr>
        <w:tabs>
          <w:tab w:val="num" w:pos="5760"/>
        </w:tabs>
        <w:ind w:left="5760" w:hanging="360"/>
      </w:pPr>
    </w:lvl>
    <w:lvl w:ilvl="8" w:tplc="916E98A4" w:tentative="1">
      <w:start w:val="1"/>
      <w:numFmt w:val="decimal"/>
      <w:lvlText w:val="%9."/>
      <w:lvlJc w:val="left"/>
      <w:pPr>
        <w:tabs>
          <w:tab w:val="num" w:pos="6480"/>
        </w:tabs>
        <w:ind w:left="6480" w:hanging="360"/>
      </w:pPr>
    </w:lvl>
  </w:abstractNum>
  <w:abstractNum w:abstractNumId="10" w15:restartNumberingAfterBreak="0">
    <w:nsid w:val="319D0E8B"/>
    <w:multiLevelType w:val="multilevel"/>
    <w:tmpl w:val="314A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16609"/>
    <w:multiLevelType w:val="multilevel"/>
    <w:tmpl w:val="8924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672DE"/>
    <w:multiLevelType w:val="multilevel"/>
    <w:tmpl w:val="0FBE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E4A0A"/>
    <w:multiLevelType w:val="multilevel"/>
    <w:tmpl w:val="6D0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451E9"/>
    <w:multiLevelType w:val="multilevel"/>
    <w:tmpl w:val="5D6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746CF"/>
    <w:multiLevelType w:val="multilevel"/>
    <w:tmpl w:val="76D094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431999"/>
    <w:multiLevelType w:val="multilevel"/>
    <w:tmpl w:val="50066E52"/>
    <w:lvl w:ilvl="0">
      <w:start w:val="1"/>
      <w:numFmt w:val="decimal"/>
      <w:pStyle w:val="ListNumb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053B42"/>
    <w:multiLevelType w:val="multilevel"/>
    <w:tmpl w:val="31F85D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DE017F"/>
    <w:multiLevelType w:val="hybridMultilevel"/>
    <w:tmpl w:val="27369E78"/>
    <w:lvl w:ilvl="0" w:tplc="E1CA96F6">
      <w:start w:val="2"/>
      <w:numFmt w:val="lowerLetter"/>
      <w:lvlText w:val="%1."/>
      <w:lvlJc w:val="left"/>
      <w:pPr>
        <w:tabs>
          <w:tab w:val="num" w:pos="720"/>
        </w:tabs>
        <w:ind w:left="720" w:hanging="360"/>
      </w:pPr>
    </w:lvl>
    <w:lvl w:ilvl="1" w:tplc="F7E6D9A4" w:tentative="1">
      <w:start w:val="1"/>
      <w:numFmt w:val="decimal"/>
      <w:lvlText w:val="%2."/>
      <w:lvlJc w:val="left"/>
      <w:pPr>
        <w:tabs>
          <w:tab w:val="num" w:pos="1440"/>
        </w:tabs>
        <w:ind w:left="1440" w:hanging="360"/>
      </w:pPr>
    </w:lvl>
    <w:lvl w:ilvl="2" w:tplc="EEF6034E" w:tentative="1">
      <w:start w:val="1"/>
      <w:numFmt w:val="decimal"/>
      <w:lvlText w:val="%3."/>
      <w:lvlJc w:val="left"/>
      <w:pPr>
        <w:tabs>
          <w:tab w:val="num" w:pos="2160"/>
        </w:tabs>
        <w:ind w:left="2160" w:hanging="360"/>
      </w:pPr>
    </w:lvl>
    <w:lvl w:ilvl="3" w:tplc="27368DEC" w:tentative="1">
      <w:start w:val="1"/>
      <w:numFmt w:val="decimal"/>
      <w:lvlText w:val="%4."/>
      <w:lvlJc w:val="left"/>
      <w:pPr>
        <w:tabs>
          <w:tab w:val="num" w:pos="2880"/>
        </w:tabs>
        <w:ind w:left="2880" w:hanging="360"/>
      </w:pPr>
    </w:lvl>
    <w:lvl w:ilvl="4" w:tplc="2BE0A358" w:tentative="1">
      <w:start w:val="1"/>
      <w:numFmt w:val="decimal"/>
      <w:lvlText w:val="%5."/>
      <w:lvlJc w:val="left"/>
      <w:pPr>
        <w:tabs>
          <w:tab w:val="num" w:pos="3600"/>
        </w:tabs>
        <w:ind w:left="3600" w:hanging="360"/>
      </w:pPr>
    </w:lvl>
    <w:lvl w:ilvl="5" w:tplc="15C21344" w:tentative="1">
      <w:start w:val="1"/>
      <w:numFmt w:val="decimal"/>
      <w:lvlText w:val="%6."/>
      <w:lvlJc w:val="left"/>
      <w:pPr>
        <w:tabs>
          <w:tab w:val="num" w:pos="4320"/>
        </w:tabs>
        <w:ind w:left="4320" w:hanging="360"/>
      </w:pPr>
    </w:lvl>
    <w:lvl w:ilvl="6" w:tplc="741EFCAA" w:tentative="1">
      <w:start w:val="1"/>
      <w:numFmt w:val="decimal"/>
      <w:lvlText w:val="%7."/>
      <w:lvlJc w:val="left"/>
      <w:pPr>
        <w:tabs>
          <w:tab w:val="num" w:pos="5040"/>
        </w:tabs>
        <w:ind w:left="5040" w:hanging="360"/>
      </w:pPr>
    </w:lvl>
    <w:lvl w:ilvl="7" w:tplc="9E026470" w:tentative="1">
      <w:start w:val="1"/>
      <w:numFmt w:val="decimal"/>
      <w:lvlText w:val="%8."/>
      <w:lvlJc w:val="left"/>
      <w:pPr>
        <w:tabs>
          <w:tab w:val="num" w:pos="5760"/>
        </w:tabs>
        <w:ind w:left="5760" w:hanging="360"/>
      </w:pPr>
    </w:lvl>
    <w:lvl w:ilvl="8" w:tplc="84E82ACC" w:tentative="1">
      <w:start w:val="1"/>
      <w:numFmt w:val="decimal"/>
      <w:lvlText w:val="%9."/>
      <w:lvlJc w:val="left"/>
      <w:pPr>
        <w:tabs>
          <w:tab w:val="num" w:pos="6480"/>
        </w:tabs>
        <w:ind w:left="6480" w:hanging="360"/>
      </w:pPr>
    </w:lvl>
  </w:abstractNum>
  <w:abstractNum w:abstractNumId="19" w15:restartNumberingAfterBreak="0">
    <w:nsid w:val="623B3778"/>
    <w:multiLevelType w:val="multilevel"/>
    <w:tmpl w:val="4A30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5D5CE0"/>
    <w:multiLevelType w:val="multilevel"/>
    <w:tmpl w:val="90EAF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C9594B"/>
    <w:multiLevelType w:val="multilevel"/>
    <w:tmpl w:val="9DB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95F3C"/>
    <w:multiLevelType w:val="multilevel"/>
    <w:tmpl w:val="E528ACB2"/>
    <w:lvl w:ilvl="0">
      <w:start w:val="1"/>
      <w:numFmt w:val="decimal"/>
      <w:pStyle w:val="ListNumberUnderline"/>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686EAF"/>
    <w:multiLevelType w:val="multilevel"/>
    <w:tmpl w:val="13A4C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3707A0"/>
    <w:multiLevelType w:val="multilevel"/>
    <w:tmpl w:val="7CFAF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22"/>
  </w:num>
  <w:num w:numId="4">
    <w:abstractNumId w:val="16"/>
  </w:num>
  <w:num w:numId="5">
    <w:abstractNumId w:val="6"/>
  </w:num>
  <w:num w:numId="6">
    <w:abstractNumId w:val="14"/>
  </w:num>
  <w:num w:numId="7">
    <w:abstractNumId w:val="1"/>
  </w:num>
  <w:num w:numId="8">
    <w:abstractNumId w:val="12"/>
  </w:num>
  <w:num w:numId="9">
    <w:abstractNumId w:val="4"/>
  </w:num>
  <w:num w:numId="10">
    <w:abstractNumId w:val="13"/>
  </w:num>
  <w:num w:numId="11">
    <w:abstractNumId w:val="20"/>
  </w:num>
  <w:num w:numId="12">
    <w:abstractNumId w:val="20"/>
    <w:lvlOverride w:ilvl="1">
      <w:lvl w:ilvl="1">
        <w:numFmt w:val="lowerLetter"/>
        <w:lvlText w:val="%2."/>
        <w:lvlJc w:val="left"/>
      </w:lvl>
    </w:lvlOverride>
  </w:num>
  <w:num w:numId="13">
    <w:abstractNumId w:val="5"/>
  </w:num>
  <w:num w:numId="14">
    <w:abstractNumId w:val="3"/>
  </w:num>
  <w:num w:numId="15">
    <w:abstractNumId w:val="8"/>
  </w:num>
  <w:num w:numId="16">
    <w:abstractNumId w:val="9"/>
  </w:num>
  <w:num w:numId="17">
    <w:abstractNumId w:val="11"/>
  </w:num>
  <w:num w:numId="18">
    <w:abstractNumId w:val="17"/>
    <w:lvlOverride w:ilvl="0">
      <w:lvl w:ilvl="0">
        <w:numFmt w:val="decimal"/>
        <w:lvlText w:val="%1."/>
        <w:lvlJc w:val="left"/>
      </w:lvl>
    </w:lvlOverride>
  </w:num>
  <w:num w:numId="19">
    <w:abstractNumId w:val="10"/>
  </w:num>
  <w:num w:numId="20">
    <w:abstractNumId w:val="24"/>
    <w:lvlOverride w:ilvl="0">
      <w:lvl w:ilvl="0">
        <w:numFmt w:val="decimal"/>
        <w:lvlText w:val="%1."/>
        <w:lvlJc w:val="left"/>
      </w:lvl>
    </w:lvlOverride>
  </w:num>
  <w:num w:numId="21">
    <w:abstractNumId w:val="23"/>
    <w:lvlOverride w:ilvl="0">
      <w:lvl w:ilvl="0">
        <w:numFmt w:val="lowerLetter"/>
        <w:lvlText w:val="%1."/>
        <w:lvlJc w:val="left"/>
      </w:lvl>
    </w:lvlOverride>
  </w:num>
  <w:num w:numId="22">
    <w:abstractNumId w:val="18"/>
  </w:num>
  <w:num w:numId="23">
    <w:abstractNumId w:val="7"/>
  </w:num>
  <w:num w:numId="24">
    <w:abstractNumId w:val="21"/>
  </w:num>
  <w:num w:numId="25">
    <w:abstractNumId w:val="15"/>
    <w:lvlOverride w:ilvl="0">
      <w:lvl w:ilvl="0">
        <w:numFmt w:val="decimal"/>
        <w:lvlText w:val="%1."/>
        <w:lvlJc w:val="left"/>
      </w:lvl>
    </w:lvlOverride>
  </w:num>
  <w:num w:numId="2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7C"/>
    <w:rsid w:val="00007835"/>
    <w:rsid w:val="0001265D"/>
    <w:rsid w:val="0001677C"/>
    <w:rsid w:val="00036105"/>
    <w:rsid w:val="00042BE1"/>
    <w:rsid w:val="000557E9"/>
    <w:rsid w:val="0005587F"/>
    <w:rsid w:val="00062CE7"/>
    <w:rsid w:val="00071E18"/>
    <w:rsid w:val="00082067"/>
    <w:rsid w:val="0008386E"/>
    <w:rsid w:val="000839D3"/>
    <w:rsid w:val="000A301B"/>
    <w:rsid w:val="000B5FE5"/>
    <w:rsid w:val="000C1EB1"/>
    <w:rsid w:val="000D07D2"/>
    <w:rsid w:val="000D497E"/>
    <w:rsid w:val="00101A52"/>
    <w:rsid w:val="00164F1B"/>
    <w:rsid w:val="001B57F3"/>
    <w:rsid w:val="001B7065"/>
    <w:rsid w:val="001C4893"/>
    <w:rsid w:val="001E10DA"/>
    <w:rsid w:val="00207A61"/>
    <w:rsid w:val="00207A9E"/>
    <w:rsid w:val="0021081C"/>
    <w:rsid w:val="00255B47"/>
    <w:rsid w:val="00266F21"/>
    <w:rsid w:val="0028009C"/>
    <w:rsid w:val="0028457B"/>
    <w:rsid w:val="002974CE"/>
    <w:rsid w:val="002C1032"/>
    <w:rsid w:val="002C5FE0"/>
    <w:rsid w:val="002C70B6"/>
    <w:rsid w:val="002D459D"/>
    <w:rsid w:val="002E32A1"/>
    <w:rsid w:val="002F5AFB"/>
    <w:rsid w:val="00363203"/>
    <w:rsid w:val="00395876"/>
    <w:rsid w:val="003B6CBE"/>
    <w:rsid w:val="003C0014"/>
    <w:rsid w:val="003E773D"/>
    <w:rsid w:val="003F0205"/>
    <w:rsid w:val="004160EB"/>
    <w:rsid w:val="0042115C"/>
    <w:rsid w:val="0042327D"/>
    <w:rsid w:val="00443060"/>
    <w:rsid w:val="00460937"/>
    <w:rsid w:val="00460CAA"/>
    <w:rsid w:val="00472BDC"/>
    <w:rsid w:val="00474151"/>
    <w:rsid w:val="00490A46"/>
    <w:rsid w:val="004A67A0"/>
    <w:rsid w:val="00515441"/>
    <w:rsid w:val="0052571D"/>
    <w:rsid w:val="00596B8F"/>
    <w:rsid w:val="005B6A7C"/>
    <w:rsid w:val="005C797C"/>
    <w:rsid w:val="005D5E7F"/>
    <w:rsid w:val="005D74B6"/>
    <w:rsid w:val="005E001B"/>
    <w:rsid w:val="005E6C0E"/>
    <w:rsid w:val="005F5BD8"/>
    <w:rsid w:val="00601502"/>
    <w:rsid w:val="006158E2"/>
    <w:rsid w:val="00644869"/>
    <w:rsid w:val="00653170"/>
    <w:rsid w:val="00656C1C"/>
    <w:rsid w:val="00657BDD"/>
    <w:rsid w:val="006704FD"/>
    <w:rsid w:val="00674F02"/>
    <w:rsid w:val="0068270E"/>
    <w:rsid w:val="00684AB5"/>
    <w:rsid w:val="006916B3"/>
    <w:rsid w:val="00691DC8"/>
    <w:rsid w:val="006A0DC5"/>
    <w:rsid w:val="006A199A"/>
    <w:rsid w:val="00706EFC"/>
    <w:rsid w:val="00712592"/>
    <w:rsid w:val="0075347A"/>
    <w:rsid w:val="00772A9C"/>
    <w:rsid w:val="00792531"/>
    <w:rsid w:val="007944F0"/>
    <w:rsid w:val="0079588C"/>
    <w:rsid w:val="007E5FF8"/>
    <w:rsid w:val="00811115"/>
    <w:rsid w:val="0082495B"/>
    <w:rsid w:val="00831870"/>
    <w:rsid w:val="0085733D"/>
    <w:rsid w:val="008858FB"/>
    <w:rsid w:val="008908AB"/>
    <w:rsid w:val="00894EA9"/>
    <w:rsid w:val="008C61B1"/>
    <w:rsid w:val="008C7846"/>
    <w:rsid w:val="008D2A2F"/>
    <w:rsid w:val="008D50D9"/>
    <w:rsid w:val="008F5B75"/>
    <w:rsid w:val="00905AD1"/>
    <w:rsid w:val="009164EC"/>
    <w:rsid w:val="00917240"/>
    <w:rsid w:val="009465F3"/>
    <w:rsid w:val="00950DF6"/>
    <w:rsid w:val="009818D5"/>
    <w:rsid w:val="009A5C28"/>
    <w:rsid w:val="009A609F"/>
    <w:rsid w:val="009B4567"/>
    <w:rsid w:val="009D7750"/>
    <w:rsid w:val="009E79DE"/>
    <w:rsid w:val="009F5920"/>
    <w:rsid w:val="00A07951"/>
    <w:rsid w:val="00A33906"/>
    <w:rsid w:val="00A42100"/>
    <w:rsid w:val="00A4602B"/>
    <w:rsid w:val="00A4609B"/>
    <w:rsid w:val="00A463FC"/>
    <w:rsid w:val="00A56895"/>
    <w:rsid w:val="00AB1FD8"/>
    <w:rsid w:val="00AB438B"/>
    <w:rsid w:val="00AB7158"/>
    <w:rsid w:val="00AD1815"/>
    <w:rsid w:val="00AD235B"/>
    <w:rsid w:val="00AE577C"/>
    <w:rsid w:val="00B44D3E"/>
    <w:rsid w:val="00B51FDA"/>
    <w:rsid w:val="00B62787"/>
    <w:rsid w:val="00B8744F"/>
    <w:rsid w:val="00B87BE3"/>
    <w:rsid w:val="00BB5E45"/>
    <w:rsid w:val="00BC4AA8"/>
    <w:rsid w:val="00BC57D5"/>
    <w:rsid w:val="00BF2D86"/>
    <w:rsid w:val="00C2593A"/>
    <w:rsid w:val="00C41A75"/>
    <w:rsid w:val="00C828DB"/>
    <w:rsid w:val="00C84FF0"/>
    <w:rsid w:val="00C940A2"/>
    <w:rsid w:val="00CA3CE1"/>
    <w:rsid w:val="00CA4D93"/>
    <w:rsid w:val="00CB59C2"/>
    <w:rsid w:val="00CE2AC5"/>
    <w:rsid w:val="00CF11CB"/>
    <w:rsid w:val="00CF69BB"/>
    <w:rsid w:val="00D0216D"/>
    <w:rsid w:val="00D10BEA"/>
    <w:rsid w:val="00D54F59"/>
    <w:rsid w:val="00D65FFD"/>
    <w:rsid w:val="00D67790"/>
    <w:rsid w:val="00D74CA2"/>
    <w:rsid w:val="00D862D0"/>
    <w:rsid w:val="00DA236A"/>
    <w:rsid w:val="00DB4A21"/>
    <w:rsid w:val="00DD6D63"/>
    <w:rsid w:val="00E10AA0"/>
    <w:rsid w:val="00E53FB9"/>
    <w:rsid w:val="00E66855"/>
    <w:rsid w:val="00E75586"/>
    <w:rsid w:val="00EB074F"/>
    <w:rsid w:val="00EB3036"/>
    <w:rsid w:val="00EB492E"/>
    <w:rsid w:val="00ED2169"/>
    <w:rsid w:val="00ED6E2A"/>
    <w:rsid w:val="00EE7872"/>
    <w:rsid w:val="00F16622"/>
    <w:rsid w:val="00F4028A"/>
    <w:rsid w:val="00F504D3"/>
    <w:rsid w:val="00F54F2F"/>
    <w:rsid w:val="00F571F1"/>
    <w:rsid w:val="00F64430"/>
    <w:rsid w:val="00F85FD5"/>
    <w:rsid w:val="00F867C2"/>
    <w:rsid w:val="00F96344"/>
    <w:rsid w:val="00FA19E7"/>
    <w:rsid w:val="00FD0C0C"/>
    <w:rsid w:val="00FD7B31"/>
    <w:rsid w:val="115B3081"/>
    <w:rsid w:val="696C868E"/>
    <w:rsid w:val="69DDDC9F"/>
    <w:rsid w:val="6D770049"/>
    <w:rsid w:val="6D808166"/>
    <w:rsid w:val="725E2988"/>
    <w:rsid w:val="769A32F4"/>
    <w:rsid w:val="7DD35D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6A9F8"/>
  <w15:chartTrackingRefBased/>
  <w15:docId w15:val="{5EDDE4FB-01FD-B14D-A3D2-E73B419C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6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64F1B"/>
    <w:pPr>
      <w:keepNext/>
      <w:keepLines/>
      <w:spacing w:before="600" w:after="120"/>
      <w:outlineLvl w:val="0"/>
    </w:pPr>
    <w:rPr>
      <w:b/>
      <w:bCs/>
      <w:color w:val="0081C6" w:themeColor="text2"/>
      <w:sz w:val="30"/>
      <w:szCs w:val="30"/>
    </w:rPr>
  </w:style>
  <w:style w:type="paragraph" w:styleId="Heading2">
    <w:name w:val="heading 2"/>
    <w:basedOn w:val="Normal"/>
    <w:next w:val="Normal"/>
    <w:link w:val="Heading2Char"/>
    <w:uiPriority w:val="9"/>
    <w:unhideWhenUsed/>
    <w:qFormat/>
    <w:rsid w:val="003C0014"/>
    <w:pPr>
      <w:keepNext/>
      <w:keepLines/>
      <w:spacing w:before="240" w:after="120"/>
      <w:outlineLvl w:val="1"/>
    </w:pPr>
    <w:rPr>
      <w:b/>
      <w:bCs/>
      <w:color w:val="808285"/>
      <w:spacing w:val="6"/>
      <w:sz w:val="23"/>
      <w:szCs w:val="23"/>
    </w:rPr>
  </w:style>
  <w:style w:type="paragraph" w:styleId="Heading3">
    <w:name w:val="heading 3"/>
    <w:basedOn w:val="Normal"/>
    <w:next w:val="Normal"/>
    <w:link w:val="Heading3Char"/>
    <w:uiPriority w:val="9"/>
    <w:semiHidden/>
    <w:unhideWhenUsed/>
    <w:rsid w:val="00D74CA2"/>
    <w:pPr>
      <w:keepNext/>
      <w:keepLines/>
      <w:spacing w:before="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customStyle="1" w:styleId="Spacer-1px">
    <w:name w:val="Spacer - 1px"/>
    <w:basedOn w:val="Normal"/>
    <w:rsid w:val="00772A9C"/>
    <w:rPr>
      <w:noProof/>
      <w:sz w:val="2"/>
      <w:szCs w:val="2"/>
    </w:rPr>
  </w:style>
  <w:style w:type="paragraph" w:styleId="Header">
    <w:name w:val="header"/>
    <w:basedOn w:val="Normal"/>
    <w:link w:val="HeaderChar"/>
    <w:uiPriority w:val="99"/>
    <w:unhideWhenUsed/>
    <w:rsid w:val="00B8744F"/>
    <w:pPr>
      <w:tabs>
        <w:tab w:val="center" w:pos="4513"/>
        <w:tab w:val="right" w:pos="9026"/>
      </w:tabs>
    </w:pPr>
  </w:style>
  <w:style w:type="character" w:customStyle="1" w:styleId="HeaderChar">
    <w:name w:val="Header Char"/>
    <w:basedOn w:val="DefaultParagraphFont"/>
    <w:link w:val="Header"/>
    <w:uiPriority w:val="99"/>
    <w:rsid w:val="00B8744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8744F"/>
    <w:pPr>
      <w:tabs>
        <w:tab w:val="center" w:pos="4513"/>
        <w:tab w:val="right" w:pos="9026"/>
      </w:tabs>
    </w:pPr>
    <w:rPr>
      <w:noProof/>
      <w:color w:val="808285"/>
      <w:spacing w:val="4"/>
      <w:sz w:val="16"/>
      <w:szCs w:val="16"/>
    </w:rPr>
  </w:style>
  <w:style w:type="character" w:customStyle="1" w:styleId="FooterChar">
    <w:name w:val="Footer Char"/>
    <w:basedOn w:val="DefaultParagraphFont"/>
    <w:link w:val="Footer"/>
    <w:uiPriority w:val="99"/>
    <w:rsid w:val="00B8744F"/>
    <w:rPr>
      <w:rFonts w:ascii="Times New Roman" w:eastAsia="Times New Roman" w:hAnsi="Times New Roman" w:cs="Times New Roman"/>
      <w:noProof/>
      <w:color w:val="808285"/>
      <w:spacing w:val="4"/>
      <w:sz w:val="16"/>
      <w:szCs w:val="16"/>
      <w:lang w:eastAsia="en-GB"/>
    </w:rPr>
  </w:style>
  <w:style w:type="character" w:styleId="PageNumber">
    <w:name w:val="page number"/>
    <w:uiPriority w:val="99"/>
    <w:unhideWhenUsed/>
    <w:rsid w:val="00B8744F"/>
    <w:rPr>
      <w:b/>
      <w:bCs/>
    </w:rPr>
  </w:style>
  <w:style w:type="character" w:styleId="Strong">
    <w:name w:val="Strong"/>
    <w:basedOn w:val="DefaultParagraphFont"/>
    <w:uiPriority w:val="22"/>
    <w:qFormat/>
    <w:rsid w:val="00B8744F"/>
    <w:rPr>
      <w:b/>
      <w:bCs/>
    </w:rPr>
  </w:style>
  <w:style w:type="paragraph" w:styleId="Subtitle">
    <w:name w:val="Subtitle"/>
    <w:basedOn w:val="Normal"/>
    <w:next w:val="Normal"/>
    <w:link w:val="SubtitleChar"/>
    <w:uiPriority w:val="11"/>
    <w:qFormat/>
    <w:rsid w:val="008C61B1"/>
    <w:rPr>
      <w:b/>
      <w:bCs/>
      <w:caps/>
      <w:color w:val="13B5EA" w:themeColor="accent6"/>
      <w:spacing w:val="28"/>
    </w:rPr>
  </w:style>
  <w:style w:type="character" w:customStyle="1" w:styleId="SubtitleChar">
    <w:name w:val="Subtitle Char"/>
    <w:basedOn w:val="DefaultParagraphFont"/>
    <w:link w:val="Subtitle"/>
    <w:uiPriority w:val="11"/>
    <w:rsid w:val="008C61B1"/>
    <w:rPr>
      <w:rFonts w:ascii="Times New Roman" w:eastAsia="Times New Roman" w:hAnsi="Times New Roman" w:cs="Times New Roman"/>
      <w:b/>
      <w:bCs/>
      <w:caps/>
      <w:color w:val="13B5EA" w:themeColor="accent6"/>
      <w:spacing w:val="28"/>
      <w:sz w:val="24"/>
      <w:szCs w:val="24"/>
      <w:lang w:eastAsia="en-GB"/>
    </w:rPr>
  </w:style>
  <w:style w:type="paragraph" w:styleId="Title">
    <w:name w:val="Title"/>
    <w:basedOn w:val="Normal"/>
    <w:next w:val="Normal"/>
    <w:link w:val="TitleChar"/>
    <w:uiPriority w:val="10"/>
    <w:qFormat/>
    <w:rsid w:val="00DD6D63"/>
    <w:pPr>
      <w:spacing w:after="480"/>
    </w:pPr>
    <w:rPr>
      <w:color w:val="0081C6" w:themeColor="text2"/>
      <w:sz w:val="53"/>
      <w:szCs w:val="53"/>
    </w:rPr>
  </w:style>
  <w:style w:type="character" w:customStyle="1" w:styleId="TitleChar">
    <w:name w:val="Title Char"/>
    <w:basedOn w:val="DefaultParagraphFont"/>
    <w:link w:val="Title"/>
    <w:uiPriority w:val="10"/>
    <w:rsid w:val="00DD6D63"/>
    <w:rPr>
      <w:rFonts w:ascii="Times New Roman" w:eastAsia="Times New Roman" w:hAnsi="Times New Roman" w:cs="Times New Roman"/>
      <w:color w:val="0081C6" w:themeColor="text2"/>
      <w:sz w:val="53"/>
      <w:szCs w:val="53"/>
      <w:lang w:eastAsia="en-GB"/>
    </w:rPr>
  </w:style>
  <w:style w:type="character" w:customStyle="1" w:styleId="Heading1Char">
    <w:name w:val="Heading 1 Char"/>
    <w:basedOn w:val="DefaultParagraphFont"/>
    <w:link w:val="Heading1"/>
    <w:uiPriority w:val="9"/>
    <w:rsid w:val="00164F1B"/>
    <w:rPr>
      <w:b/>
      <w:bCs/>
      <w:color w:val="0081C6" w:themeColor="text2"/>
      <w:sz w:val="30"/>
      <w:szCs w:val="30"/>
    </w:rPr>
  </w:style>
  <w:style w:type="paragraph" w:styleId="Quote">
    <w:name w:val="Quote"/>
    <w:basedOn w:val="Normal"/>
    <w:next w:val="Normal"/>
    <w:link w:val="QuoteChar"/>
    <w:uiPriority w:val="29"/>
    <w:qFormat/>
    <w:rsid w:val="009818D5"/>
    <w:pPr>
      <w:pBdr>
        <w:top w:val="single" w:sz="48" w:space="6" w:color="E6E7E8" w:themeColor="background2"/>
        <w:left w:val="single" w:sz="48" w:space="0" w:color="E6E7E8" w:themeColor="background2"/>
        <w:bottom w:val="single" w:sz="48" w:space="3" w:color="E6E7E8" w:themeColor="background2"/>
        <w:right w:val="single" w:sz="48" w:space="0" w:color="E6E7E8" w:themeColor="background2"/>
      </w:pBdr>
      <w:shd w:val="clear" w:color="auto" w:fill="E6E7E8" w:themeFill="background2"/>
      <w:spacing w:before="240" w:after="360" w:line="324" w:lineRule="auto"/>
      <w:ind w:left="142" w:right="142"/>
      <w:jc w:val="center"/>
    </w:pPr>
    <w:rPr>
      <w:b/>
      <w:bCs/>
      <w:i/>
      <w:iCs/>
      <w:color w:val="0081C6" w:themeColor="text2"/>
      <w:sz w:val="19"/>
      <w:szCs w:val="19"/>
    </w:rPr>
  </w:style>
  <w:style w:type="character" w:customStyle="1" w:styleId="QuoteChar">
    <w:name w:val="Quote Char"/>
    <w:basedOn w:val="DefaultParagraphFont"/>
    <w:link w:val="Quote"/>
    <w:uiPriority w:val="29"/>
    <w:rsid w:val="009818D5"/>
    <w:rPr>
      <w:b/>
      <w:bCs/>
      <w:i/>
      <w:iCs/>
      <w:color w:val="0081C6" w:themeColor="text2"/>
      <w:sz w:val="19"/>
      <w:szCs w:val="19"/>
      <w:shd w:val="clear" w:color="auto" w:fill="E6E7E8" w:themeFill="background2"/>
    </w:rPr>
  </w:style>
  <w:style w:type="character" w:customStyle="1" w:styleId="Heading2Char">
    <w:name w:val="Heading 2 Char"/>
    <w:basedOn w:val="DefaultParagraphFont"/>
    <w:link w:val="Heading2"/>
    <w:uiPriority w:val="9"/>
    <w:rsid w:val="003C0014"/>
    <w:rPr>
      <w:b/>
      <w:bCs/>
      <w:color w:val="808285"/>
      <w:spacing w:val="6"/>
      <w:sz w:val="23"/>
      <w:szCs w:val="23"/>
    </w:rPr>
  </w:style>
  <w:style w:type="paragraph" w:customStyle="1" w:styleId="BlueLine">
    <w:name w:val="Blue Line"/>
    <w:basedOn w:val="Normal"/>
    <w:qFormat/>
    <w:rsid w:val="009818D5"/>
    <w:pPr>
      <w:pBdr>
        <w:top w:val="single" w:sz="6" w:space="1" w:color="A9D8F4" w:themeColor="accent3"/>
      </w:pBdr>
      <w:spacing w:line="264" w:lineRule="auto"/>
    </w:pPr>
  </w:style>
  <w:style w:type="paragraph" w:styleId="FootnoteText">
    <w:name w:val="footnote text"/>
    <w:basedOn w:val="Normal"/>
    <w:link w:val="FootnoteTextChar"/>
    <w:uiPriority w:val="99"/>
    <w:semiHidden/>
    <w:unhideWhenUsed/>
    <w:rsid w:val="0079588C"/>
    <w:rPr>
      <w:sz w:val="16"/>
    </w:rPr>
  </w:style>
  <w:style w:type="character" w:customStyle="1" w:styleId="FootnoteTextChar">
    <w:name w:val="Footnote Text Char"/>
    <w:basedOn w:val="DefaultParagraphFont"/>
    <w:link w:val="FootnoteText"/>
    <w:uiPriority w:val="99"/>
    <w:semiHidden/>
    <w:rsid w:val="0079588C"/>
    <w:rPr>
      <w:rFonts w:ascii="Times New Roman" w:eastAsia="Times New Roman" w:hAnsi="Times New Roman" w:cs="Times New Roman"/>
      <w:sz w:val="16"/>
      <w:szCs w:val="24"/>
      <w:lang w:eastAsia="en-GB"/>
    </w:rPr>
  </w:style>
  <w:style w:type="character" w:styleId="FootnoteReference">
    <w:name w:val="footnote reference"/>
    <w:basedOn w:val="DefaultParagraphFont"/>
    <w:uiPriority w:val="99"/>
    <w:semiHidden/>
    <w:unhideWhenUsed/>
    <w:rsid w:val="0079588C"/>
    <w:rPr>
      <w:vertAlign w:val="superscript"/>
    </w:rPr>
  </w:style>
  <w:style w:type="paragraph" w:styleId="ListNumber">
    <w:name w:val="List Number"/>
    <w:basedOn w:val="Normal"/>
    <w:uiPriority w:val="19"/>
    <w:unhideWhenUsed/>
    <w:qFormat/>
    <w:rsid w:val="006A0DC5"/>
    <w:pPr>
      <w:numPr>
        <w:numId w:val="4"/>
      </w:numPr>
      <w:spacing w:before="360"/>
    </w:pPr>
  </w:style>
  <w:style w:type="character" w:styleId="Hyperlink">
    <w:name w:val="Hyperlink"/>
    <w:basedOn w:val="DefaultParagraphFont"/>
    <w:uiPriority w:val="99"/>
    <w:unhideWhenUsed/>
    <w:rsid w:val="00AD235B"/>
    <w:rPr>
      <w:color w:val="000000" w:themeColor="hyperlink"/>
      <w:u w:val="single"/>
    </w:rPr>
  </w:style>
  <w:style w:type="character" w:styleId="UnresolvedMention">
    <w:name w:val="Unresolved Mention"/>
    <w:basedOn w:val="DefaultParagraphFont"/>
    <w:uiPriority w:val="99"/>
    <w:semiHidden/>
    <w:unhideWhenUsed/>
    <w:rsid w:val="00AD235B"/>
    <w:rPr>
      <w:color w:val="605E5C"/>
      <w:shd w:val="clear" w:color="auto" w:fill="E1DFDD"/>
    </w:rPr>
  </w:style>
  <w:style w:type="table" w:styleId="TableGrid">
    <w:name w:val="Table Grid"/>
    <w:basedOn w:val="TableNormal"/>
    <w:uiPriority w:val="59"/>
    <w:rsid w:val="00FD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Underline">
    <w:name w:val="List Number Underline"/>
    <w:basedOn w:val="ListNumber"/>
    <w:qFormat/>
    <w:rsid w:val="009B4567"/>
    <w:pPr>
      <w:numPr>
        <w:numId w:val="3"/>
      </w:numPr>
      <w:pBdr>
        <w:bottom w:val="single" w:sz="6" w:space="6" w:color="A9D8F4" w:themeColor="accent3"/>
        <w:between w:val="single" w:sz="6" w:space="6" w:color="A9D8F4" w:themeColor="accent3"/>
      </w:pBdr>
      <w:spacing w:before="140" w:after="60"/>
    </w:pPr>
  </w:style>
  <w:style w:type="table" w:customStyle="1" w:styleId="APFTable">
    <w:name w:val="APF Table"/>
    <w:basedOn w:val="TableNormal"/>
    <w:uiPriority w:val="99"/>
    <w:rsid w:val="00C940A2"/>
    <w:pPr>
      <w:spacing w:before="120" w:after="120"/>
    </w:p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0F0FB" w:themeFill="accent1"/>
    </w:tcPr>
    <w:tblStylePr w:type="firstRow">
      <w:pPr>
        <w:wordWrap/>
        <w:spacing w:beforeLines="0" w:before="240" w:beforeAutospacing="0"/>
      </w:pPr>
      <w:rPr>
        <w:b/>
        <w:color w:val="FFFFFF" w:themeColor="background1"/>
      </w:rPr>
      <w:tblPr/>
      <w:tcPr>
        <w:shd w:val="clear" w:color="auto" w:fill="0081C6" w:themeFill="text2"/>
      </w:tcPr>
    </w:tblStylePr>
    <w:tblStylePr w:type="lastRow">
      <w:rPr>
        <w:b/>
      </w:rPr>
    </w:tblStylePr>
    <w:tblStylePr w:type="firstCol">
      <w:rPr>
        <w:b/>
      </w:rPr>
      <w:tblPr/>
      <w:tcPr>
        <w:shd w:val="clear" w:color="auto" w:fill="A9D8F4" w:themeFill="accent3"/>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E0F0FB" w:themeFill="accent1"/>
      </w:tcPr>
    </w:tblStylePr>
  </w:style>
  <w:style w:type="paragraph" w:customStyle="1" w:styleId="Spacer-Cover">
    <w:name w:val="Spacer - Cover"/>
    <w:basedOn w:val="Spacer-1px"/>
    <w:rsid w:val="002F5AFB"/>
    <w:pPr>
      <w:spacing w:after="2540"/>
    </w:pPr>
  </w:style>
  <w:style w:type="paragraph" w:customStyle="1" w:styleId="DiagramText">
    <w:name w:val="Diagram Text"/>
    <w:basedOn w:val="Normal"/>
    <w:qFormat/>
    <w:rsid w:val="00653170"/>
    <w:rPr>
      <w:sz w:val="19"/>
      <w:szCs w:val="19"/>
    </w:rPr>
  </w:style>
  <w:style w:type="paragraph" w:styleId="NoSpacing">
    <w:name w:val="No Spacing"/>
    <w:uiPriority w:val="1"/>
    <w:qFormat/>
    <w:rsid w:val="00644869"/>
    <w:pPr>
      <w:spacing w:after="0" w:line="240" w:lineRule="auto"/>
    </w:pPr>
  </w:style>
  <w:style w:type="character" w:customStyle="1" w:styleId="Heading3Char">
    <w:name w:val="Heading 3 Char"/>
    <w:basedOn w:val="DefaultParagraphFont"/>
    <w:link w:val="Heading3"/>
    <w:uiPriority w:val="9"/>
    <w:semiHidden/>
    <w:rsid w:val="00D74CA2"/>
    <w:rPr>
      <w:rFonts w:asciiTheme="majorHAnsi" w:eastAsiaTheme="majorEastAsia" w:hAnsiTheme="majorHAnsi" w:cstheme="majorBidi"/>
      <w:b/>
      <w:color w:val="000000" w:themeColor="text1"/>
      <w:sz w:val="24"/>
      <w:szCs w:val="24"/>
      <w:lang w:eastAsia="en-GB"/>
    </w:rPr>
  </w:style>
  <w:style w:type="paragraph" w:styleId="ListBullet">
    <w:name w:val="List Bullet"/>
    <w:basedOn w:val="Normal"/>
    <w:uiPriority w:val="99"/>
    <w:unhideWhenUsed/>
    <w:qFormat/>
    <w:rsid w:val="00D74CA2"/>
    <w:pPr>
      <w:numPr>
        <w:numId w:val="2"/>
      </w:numPr>
      <w:ind w:left="357" w:hanging="357"/>
    </w:pPr>
  </w:style>
  <w:style w:type="paragraph" w:styleId="NormalWeb">
    <w:name w:val="Normal (Web)"/>
    <w:basedOn w:val="Normal"/>
    <w:uiPriority w:val="99"/>
    <w:unhideWhenUsed/>
    <w:rsid w:val="0085733D"/>
    <w:pPr>
      <w:spacing w:before="100" w:beforeAutospacing="1" w:after="100" w:afterAutospacing="1"/>
    </w:pPr>
  </w:style>
  <w:style w:type="character" w:customStyle="1" w:styleId="normaltextrun">
    <w:name w:val="normaltextrun"/>
    <w:basedOn w:val="DefaultParagraphFont"/>
    <w:rsid w:val="009D7750"/>
  </w:style>
  <w:style w:type="character" w:customStyle="1" w:styleId="eop">
    <w:name w:val="eop"/>
    <w:basedOn w:val="DefaultParagraphFont"/>
    <w:rsid w:val="009D7750"/>
  </w:style>
  <w:style w:type="paragraph" w:styleId="ListParagraph">
    <w:name w:val="List Paragraph"/>
    <w:basedOn w:val="Normal"/>
    <w:uiPriority w:val="34"/>
    <w:rsid w:val="00FA19E7"/>
    <w:pPr>
      <w:ind w:left="720"/>
      <w:contextualSpacing/>
    </w:pPr>
  </w:style>
  <w:style w:type="paragraph" w:customStyle="1" w:styleId="paragraph">
    <w:name w:val="paragraph"/>
    <w:basedOn w:val="Normal"/>
    <w:rsid w:val="00BC57D5"/>
    <w:pPr>
      <w:spacing w:before="100" w:beforeAutospacing="1" w:after="100" w:afterAutospacing="1"/>
    </w:pPr>
  </w:style>
  <w:style w:type="character" w:customStyle="1" w:styleId="apple-tab-span">
    <w:name w:val="apple-tab-span"/>
    <w:basedOn w:val="DefaultParagraphFont"/>
    <w:rsid w:val="00C2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340">
      <w:bodyDiv w:val="1"/>
      <w:marLeft w:val="0"/>
      <w:marRight w:val="0"/>
      <w:marTop w:val="0"/>
      <w:marBottom w:val="0"/>
      <w:divBdr>
        <w:top w:val="none" w:sz="0" w:space="0" w:color="auto"/>
        <w:left w:val="none" w:sz="0" w:space="0" w:color="auto"/>
        <w:bottom w:val="none" w:sz="0" w:space="0" w:color="auto"/>
        <w:right w:val="none" w:sz="0" w:space="0" w:color="auto"/>
      </w:divBdr>
    </w:div>
    <w:div w:id="43410463">
      <w:bodyDiv w:val="1"/>
      <w:marLeft w:val="0"/>
      <w:marRight w:val="0"/>
      <w:marTop w:val="0"/>
      <w:marBottom w:val="0"/>
      <w:divBdr>
        <w:top w:val="none" w:sz="0" w:space="0" w:color="auto"/>
        <w:left w:val="none" w:sz="0" w:space="0" w:color="auto"/>
        <w:bottom w:val="none" w:sz="0" w:space="0" w:color="auto"/>
        <w:right w:val="none" w:sz="0" w:space="0" w:color="auto"/>
      </w:divBdr>
    </w:div>
    <w:div w:id="57024427">
      <w:bodyDiv w:val="1"/>
      <w:marLeft w:val="0"/>
      <w:marRight w:val="0"/>
      <w:marTop w:val="0"/>
      <w:marBottom w:val="0"/>
      <w:divBdr>
        <w:top w:val="none" w:sz="0" w:space="0" w:color="auto"/>
        <w:left w:val="none" w:sz="0" w:space="0" w:color="auto"/>
        <w:bottom w:val="none" w:sz="0" w:space="0" w:color="auto"/>
        <w:right w:val="none" w:sz="0" w:space="0" w:color="auto"/>
      </w:divBdr>
    </w:div>
    <w:div w:id="238057812">
      <w:bodyDiv w:val="1"/>
      <w:marLeft w:val="0"/>
      <w:marRight w:val="0"/>
      <w:marTop w:val="0"/>
      <w:marBottom w:val="0"/>
      <w:divBdr>
        <w:top w:val="none" w:sz="0" w:space="0" w:color="auto"/>
        <w:left w:val="none" w:sz="0" w:space="0" w:color="auto"/>
        <w:bottom w:val="none" w:sz="0" w:space="0" w:color="auto"/>
        <w:right w:val="none" w:sz="0" w:space="0" w:color="auto"/>
      </w:divBdr>
    </w:div>
    <w:div w:id="242646326">
      <w:bodyDiv w:val="1"/>
      <w:marLeft w:val="0"/>
      <w:marRight w:val="0"/>
      <w:marTop w:val="0"/>
      <w:marBottom w:val="0"/>
      <w:divBdr>
        <w:top w:val="none" w:sz="0" w:space="0" w:color="auto"/>
        <w:left w:val="none" w:sz="0" w:space="0" w:color="auto"/>
        <w:bottom w:val="none" w:sz="0" w:space="0" w:color="auto"/>
        <w:right w:val="none" w:sz="0" w:space="0" w:color="auto"/>
      </w:divBdr>
    </w:div>
    <w:div w:id="272979414">
      <w:bodyDiv w:val="1"/>
      <w:marLeft w:val="0"/>
      <w:marRight w:val="0"/>
      <w:marTop w:val="0"/>
      <w:marBottom w:val="0"/>
      <w:divBdr>
        <w:top w:val="none" w:sz="0" w:space="0" w:color="auto"/>
        <w:left w:val="none" w:sz="0" w:space="0" w:color="auto"/>
        <w:bottom w:val="none" w:sz="0" w:space="0" w:color="auto"/>
        <w:right w:val="none" w:sz="0" w:space="0" w:color="auto"/>
      </w:divBdr>
    </w:div>
    <w:div w:id="276257230">
      <w:bodyDiv w:val="1"/>
      <w:marLeft w:val="0"/>
      <w:marRight w:val="0"/>
      <w:marTop w:val="0"/>
      <w:marBottom w:val="0"/>
      <w:divBdr>
        <w:top w:val="none" w:sz="0" w:space="0" w:color="auto"/>
        <w:left w:val="none" w:sz="0" w:space="0" w:color="auto"/>
        <w:bottom w:val="none" w:sz="0" w:space="0" w:color="auto"/>
        <w:right w:val="none" w:sz="0" w:space="0" w:color="auto"/>
      </w:divBdr>
    </w:div>
    <w:div w:id="402530835">
      <w:bodyDiv w:val="1"/>
      <w:marLeft w:val="0"/>
      <w:marRight w:val="0"/>
      <w:marTop w:val="0"/>
      <w:marBottom w:val="0"/>
      <w:divBdr>
        <w:top w:val="none" w:sz="0" w:space="0" w:color="auto"/>
        <w:left w:val="none" w:sz="0" w:space="0" w:color="auto"/>
        <w:bottom w:val="none" w:sz="0" w:space="0" w:color="auto"/>
        <w:right w:val="none" w:sz="0" w:space="0" w:color="auto"/>
      </w:divBdr>
    </w:div>
    <w:div w:id="579339662">
      <w:bodyDiv w:val="1"/>
      <w:marLeft w:val="0"/>
      <w:marRight w:val="0"/>
      <w:marTop w:val="0"/>
      <w:marBottom w:val="0"/>
      <w:divBdr>
        <w:top w:val="none" w:sz="0" w:space="0" w:color="auto"/>
        <w:left w:val="none" w:sz="0" w:space="0" w:color="auto"/>
        <w:bottom w:val="none" w:sz="0" w:space="0" w:color="auto"/>
        <w:right w:val="none" w:sz="0" w:space="0" w:color="auto"/>
      </w:divBdr>
    </w:div>
    <w:div w:id="619604688">
      <w:bodyDiv w:val="1"/>
      <w:marLeft w:val="0"/>
      <w:marRight w:val="0"/>
      <w:marTop w:val="0"/>
      <w:marBottom w:val="0"/>
      <w:divBdr>
        <w:top w:val="none" w:sz="0" w:space="0" w:color="auto"/>
        <w:left w:val="none" w:sz="0" w:space="0" w:color="auto"/>
        <w:bottom w:val="none" w:sz="0" w:space="0" w:color="auto"/>
        <w:right w:val="none" w:sz="0" w:space="0" w:color="auto"/>
      </w:divBdr>
    </w:div>
    <w:div w:id="761219376">
      <w:bodyDiv w:val="1"/>
      <w:marLeft w:val="0"/>
      <w:marRight w:val="0"/>
      <w:marTop w:val="0"/>
      <w:marBottom w:val="0"/>
      <w:divBdr>
        <w:top w:val="none" w:sz="0" w:space="0" w:color="auto"/>
        <w:left w:val="none" w:sz="0" w:space="0" w:color="auto"/>
        <w:bottom w:val="none" w:sz="0" w:space="0" w:color="auto"/>
        <w:right w:val="none" w:sz="0" w:space="0" w:color="auto"/>
      </w:divBdr>
    </w:div>
    <w:div w:id="764497845">
      <w:bodyDiv w:val="1"/>
      <w:marLeft w:val="0"/>
      <w:marRight w:val="0"/>
      <w:marTop w:val="0"/>
      <w:marBottom w:val="0"/>
      <w:divBdr>
        <w:top w:val="none" w:sz="0" w:space="0" w:color="auto"/>
        <w:left w:val="none" w:sz="0" w:space="0" w:color="auto"/>
        <w:bottom w:val="none" w:sz="0" w:space="0" w:color="auto"/>
        <w:right w:val="none" w:sz="0" w:space="0" w:color="auto"/>
      </w:divBdr>
    </w:div>
    <w:div w:id="806823375">
      <w:bodyDiv w:val="1"/>
      <w:marLeft w:val="0"/>
      <w:marRight w:val="0"/>
      <w:marTop w:val="0"/>
      <w:marBottom w:val="0"/>
      <w:divBdr>
        <w:top w:val="none" w:sz="0" w:space="0" w:color="auto"/>
        <w:left w:val="none" w:sz="0" w:space="0" w:color="auto"/>
        <w:bottom w:val="none" w:sz="0" w:space="0" w:color="auto"/>
        <w:right w:val="none" w:sz="0" w:space="0" w:color="auto"/>
      </w:divBdr>
    </w:div>
    <w:div w:id="862478667">
      <w:bodyDiv w:val="1"/>
      <w:marLeft w:val="0"/>
      <w:marRight w:val="0"/>
      <w:marTop w:val="0"/>
      <w:marBottom w:val="0"/>
      <w:divBdr>
        <w:top w:val="none" w:sz="0" w:space="0" w:color="auto"/>
        <w:left w:val="none" w:sz="0" w:space="0" w:color="auto"/>
        <w:bottom w:val="none" w:sz="0" w:space="0" w:color="auto"/>
        <w:right w:val="none" w:sz="0" w:space="0" w:color="auto"/>
      </w:divBdr>
    </w:div>
    <w:div w:id="883062808">
      <w:bodyDiv w:val="1"/>
      <w:marLeft w:val="0"/>
      <w:marRight w:val="0"/>
      <w:marTop w:val="0"/>
      <w:marBottom w:val="0"/>
      <w:divBdr>
        <w:top w:val="none" w:sz="0" w:space="0" w:color="auto"/>
        <w:left w:val="none" w:sz="0" w:space="0" w:color="auto"/>
        <w:bottom w:val="none" w:sz="0" w:space="0" w:color="auto"/>
        <w:right w:val="none" w:sz="0" w:space="0" w:color="auto"/>
      </w:divBdr>
    </w:div>
    <w:div w:id="996375830">
      <w:bodyDiv w:val="1"/>
      <w:marLeft w:val="0"/>
      <w:marRight w:val="0"/>
      <w:marTop w:val="0"/>
      <w:marBottom w:val="0"/>
      <w:divBdr>
        <w:top w:val="none" w:sz="0" w:space="0" w:color="auto"/>
        <w:left w:val="none" w:sz="0" w:space="0" w:color="auto"/>
        <w:bottom w:val="none" w:sz="0" w:space="0" w:color="auto"/>
        <w:right w:val="none" w:sz="0" w:space="0" w:color="auto"/>
      </w:divBdr>
    </w:div>
    <w:div w:id="1160929744">
      <w:bodyDiv w:val="1"/>
      <w:marLeft w:val="0"/>
      <w:marRight w:val="0"/>
      <w:marTop w:val="0"/>
      <w:marBottom w:val="0"/>
      <w:divBdr>
        <w:top w:val="none" w:sz="0" w:space="0" w:color="auto"/>
        <w:left w:val="none" w:sz="0" w:space="0" w:color="auto"/>
        <w:bottom w:val="none" w:sz="0" w:space="0" w:color="auto"/>
        <w:right w:val="none" w:sz="0" w:space="0" w:color="auto"/>
      </w:divBdr>
    </w:div>
    <w:div w:id="1419130454">
      <w:bodyDiv w:val="1"/>
      <w:marLeft w:val="0"/>
      <w:marRight w:val="0"/>
      <w:marTop w:val="0"/>
      <w:marBottom w:val="0"/>
      <w:divBdr>
        <w:top w:val="none" w:sz="0" w:space="0" w:color="auto"/>
        <w:left w:val="none" w:sz="0" w:space="0" w:color="auto"/>
        <w:bottom w:val="none" w:sz="0" w:space="0" w:color="auto"/>
        <w:right w:val="none" w:sz="0" w:space="0" w:color="auto"/>
      </w:divBdr>
    </w:div>
    <w:div w:id="1451046941">
      <w:bodyDiv w:val="1"/>
      <w:marLeft w:val="0"/>
      <w:marRight w:val="0"/>
      <w:marTop w:val="0"/>
      <w:marBottom w:val="0"/>
      <w:divBdr>
        <w:top w:val="none" w:sz="0" w:space="0" w:color="auto"/>
        <w:left w:val="none" w:sz="0" w:space="0" w:color="auto"/>
        <w:bottom w:val="none" w:sz="0" w:space="0" w:color="auto"/>
        <w:right w:val="none" w:sz="0" w:space="0" w:color="auto"/>
      </w:divBdr>
    </w:div>
    <w:div w:id="1478838954">
      <w:bodyDiv w:val="1"/>
      <w:marLeft w:val="0"/>
      <w:marRight w:val="0"/>
      <w:marTop w:val="0"/>
      <w:marBottom w:val="0"/>
      <w:divBdr>
        <w:top w:val="none" w:sz="0" w:space="0" w:color="auto"/>
        <w:left w:val="none" w:sz="0" w:space="0" w:color="auto"/>
        <w:bottom w:val="none" w:sz="0" w:space="0" w:color="auto"/>
        <w:right w:val="none" w:sz="0" w:space="0" w:color="auto"/>
      </w:divBdr>
    </w:div>
    <w:div w:id="1618415661">
      <w:bodyDiv w:val="1"/>
      <w:marLeft w:val="0"/>
      <w:marRight w:val="0"/>
      <w:marTop w:val="0"/>
      <w:marBottom w:val="0"/>
      <w:divBdr>
        <w:top w:val="none" w:sz="0" w:space="0" w:color="auto"/>
        <w:left w:val="none" w:sz="0" w:space="0" w:color="auto"/>
        <w:bottom w:val="none" w:sz="0" w:space="0" w:color="auto"/>
        <w:right w:val="none" w:sz="0" w:space="0" w:color="auto"/>
      </w:divBdr>
    </w:div>
    <w:div w:id="1643806233">
      <w:bodyDiv w:val="1"/>
      <w:marLeft w:val="0"/>
      <w:marRight w:val="0"/>
      <w:marTop w:val="0"/>
      <w:marBottom w:val="0"/>
      <w:divBdr>
        <w:top w:val="none" w:sz="0" w:space="0" w:color="auto"/>
        <w:left w:val="none" w:sz="0" w:space="0" w:color="auto"/>
        <w:bottom w:val="none" w:sz="0" w:space="0" w:color="auto"/>
        <w:right w:val="none" w:sz="0" w:space="0" w:color="auto"/>
      </w:divBdr>
    </w:div>
    <w:div w:id="1733574275">
      <w:bodyDiv w:val="1"/>
      <w:marLeft w:val="0"/>
      <w:marRight w:val="0"/>
      <w:marTop w:val="0"/>
      <w:marBottom w:val="0"/>
      <w:divBdr>
        <w:top w:val="none" w:sz="0" w:space="0" w:color="auto"/>
        <w:left w:val="none" w:sz="0" w:space="0" w:color="auto"/>
        <w:bottom w:val="none" w:sz="0" w:space="0" w:color="auto"/>
        <w:right w:val="none" w:sz="0" w:space="0" w:color="auto"/>
      </w:divBdr>
    </w:div>
    <w:div w:id="1743530270">
      <w:bodyDiv w:val="1"/>
      <w:marLeft w:val="0"/>
      <w:marRight w:val="0"/>
      <w:marTop w:val="0"/>
      <w:marBottom w:val="0"/>
      <w:divBdr>
        <w:top w:val="none" w:sz="0" w:space="0" w:color="auto"/>
        <w:left w:val="none" w:sz="0" w:space="0" w:color="auto"/>
        <w:bottom w:val="none" w:sz="0" w:space="0" w:color="auto"/>
        <w:right w:val="none" w:sz="0" w:space="0" w:color="auto"/>
      </w:divBdr>
      <w:divsChild>
        <w:div w:id="168104355">
          <w:marLeft w:val="0"/>
          <w:marRight w:val="0"/>
          <w:marTop w:val="0"/>
          <w:marBottom w:val="0"/>
          <w:divBdr>
            <w:top w:val="none" w:sz="0" w:space="0" w:color="auto"/>
            <w:left w:val="none" w:sz="0" w:space="0" w:color="auto"/>
            <w:bottom w:val="none" w:sz="0" w:space="0" w:color="auto"/>
            <w:right w:val="none" w:sz="0" w:space="0" w:color="auto"/>
          </w:divBdr>
        </w:div>
        <w:div w:id="1741975919">
          <w:marLeft w:val="0"/>
          <w:marRight w:val="0"/>
          <w:marTop w:val="0"/>
          <w:marBottom w:val="0"/>
          <w:divBdr>
            <w:top w:val="none" w:sz="0" w:space="0" w:color="auto"/>
            <w:left w:val="none" w:sz="0" w:space="0" w:color="auto"/>
            <w:bottom w:val="none" w:sz="0" w:space="0" w:color="auto"/>
            <w:right w:val="none" w:sz="0" w:space="0" w:color="auto"/>
          </w:divBdr>
        </w:div>
      </w:divsChild>
    </w:div>
    <w:div w:id="1898781536">
      <w:bodyDiv w:val="1"/>
      <w:marLeft w:val="0"/>
      <w:marRight w:val="0"/>
      <w:marTop w:val="0"/>
      <w:marBottom w:val="0"/>
      <w:divBdr>
        <w:top w:val="none" w:sz="0" w:space="0" w:color="auto"/>
        <w:left w:val="none" w:sz="0" w:space="0" w:color="auto"/>
        <w:bottom w:val="none" w:sz="0" w:space="0" w:color="auto"/>
        <w:right w:val="none" w:sz="0" w:space="0" w:color="auto"/>
      </w:divBdr>
    </w:div>
    <w:div w:id="2036996622">
      <w:bodyDiv w:val="1"/>
      <w:marLeft w:val="0"/>
      <w:marRight w:val="0"/>
      <w:marTop w:val="0"/>
      <w:marBottom w:val="0"/>
      <w:divBdr>
        <w:top w:val="none" w:sz="0" w:space="0" w:color="auto"/>
        <w:left w:val="none" w:sz="0" w:space="0" w:color="auto"/>
        <w:bottom w:val="none" w:sz="0" w:space="0" w:color="auto"/>
        <w:right w:val="none" w:sz="0" w:space="0" w:color="auto"/>
      </w:divBdr>
    </w:div>
    <w:div w:id="2073968156">
      <w:bodyDiv w:val="1"/>
      <w:marLeft w:val="0"/>
      <w:marRight w:val="0"/>
      <w:marTop w:val="0"/>
      <w:marBottom w:val="0"/>
      <w:divBdr>
        <w:top w:val="none" w:sz="0" w:space="0" w:color="auto"/>
        <w:left w:val="none" w:sz="0" w:space="0" w:color="auto"/>
        <w:bottom w:val="none" w:sz="0" w:space="0" w:color="auto"/>
        <w:right w:val="none" w:sz="0" w:space="0" w:color="auto"/>
      </w:divBdr>
    </w:div>
    <w:div w:id="2119520949">
      <w:bodyDiv w:val="1"/>
      <w:marLeft w:val="0"/>
      <w:marRight w:val="0"/>
      <w:marTop w:val="0"/>
      <w:marBottom w:val="0"/>
      <w:divBdr>
        <w:top w:val="none" w:sz="0" w:space="0" w:color="auto"/>
        <w:left w:val="none" w:sz="0" w:space="0" w:color="auto"/>
        <w:bottom w:val="none" w:sz="0" w:space="0" w:color="auto"/>
        <w:right w:val="none" w:sz="0" w:space="0" w:color="auto"/>
      </w:divBdr>
    </w:div>
    <w:div w:id="2122647585">
      <w:bodyDiv w:val="1"/>
      <w:marLeft w:val="0"/>
      <w:marRight w:val="0"/>
      <w:marTop w:val="0"/>
      <w:marBottom w:val="0"/>
      <w:divBdr>
        <w:top w:val="none" w:sz="0" w:space="0" w:color="auto"/>
        <w:left w:val="none" w:sz="0" w:space="0" w:color="auto"/>
        <w:bottom w:val="none" w:sz="0" w:space="0" w:color="auto"/>
        <w:right w:val="none" w:sz="0" w:space="0" w:color="auto"/>
      </w:divBdr>
    </w:div>
    <w:div w:id="21444934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my.sharepoint.com/personal/fasohaaishath_asiapacificforum_net/Documents/Admin/APF%20Templates/Fact%20Sheets/30865_APF_Fact_Sheet_Template..dotx" TargetMode="External"/></Relationships>
</file>

<file path=word/theme/theme1.xml><?xml version="1.0" encoding="utf-8"?>
<a:theme xmlns:a="http://schemas.openxmlformats.org/drawingml/2006/main" name="Office Theme">
  <a:themeElements>
    <a:clrScheme name="Asia Pacific Forum">
      <a:dk1>
        <a:sysClr val="windowText" lastClr="000000"/>
      </a:dk1>
      <a:lt1>
        <a:sysClr val="window" lastClr="FFFFFF"/>
      </a:lt1>
      <a:dk2>
        <a:srgbClr val="0081C6"/>
      </a:dk2>
      <a:lt2>
        <a:srgbClr val="E6E7E8"/>
      </a:lt2>
      <a:accent1>
        <a:srgbClr val="E0F0FB"/>
      </a:accent1>
      <a:accent2>
        <a:srgbClr val="C5E4F7"/>
      </a:accent2>
      <a:accent3>
        <a:srgbClr val="A9D8F4"/>
      </a:accent3>
      <a:accent4>
        <a:srgbClr val="8CCEF1"/>
      </a:accent4>
      <a:accent5>
        <a:srgbClr val="6CC4EE"/>
      </a:accent5>
      <a:accent6>
        <a:srgbClr val="13B5E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C821-89A4-484B-B759-9B646CEC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30865_APF_Fact_Sheet_Template..dotx</Template>
  <TotalTime>1</TotalTime>
  <Pages>6</Pages>
  <Words>2207</Words>
  <Characters>12586</Characters>
  <Application>Microsoft Office Word</Application>
  <DocSecurity>0</DocSecurity>
  <Lines>104</Lines>
  <Paragraphs>29</Paragraphs>
  <ScaleCrop>false</ScaleCrop>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Fasoha Aishath</cp:lastModifiedBy>
  <cp:revision>3</cp:revision>
  <cp:lastPrinted>2021-06-08T03:05:00Z</cp:lastPrinted>
  <dcterms:created xsi:type="dcterms:W3CDTF">2021-11-11T00:20:00Z</dcterms:created>
  <dcterms:modified xsi:type="dcterms:W3CDTF">2021-11-11T00:22:00Z</dcterms:modified>
</cp:coreProperties>
</file>