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2757" w14:textId="77777777" w:rsidR="00DD6D63" w:rsidRDefault="00656C1C" w:rsidP="002F5AFB">
      <w:pPr>
        <w:pStyle w:val="Spacer-Cover"/>
      </w:pPr>
      <w:r>
        <mc:AlternateContent>
          <mc:Choice Requires="wpg">
            <w:drawing>
              <wp:anchor distT="0" distB="0" distL="114300" distR="114300" simplePos="0" relativeHeight="251665408" behindDoc="0" locked="1" layoutInCell="1" allowOverlap="1" wp14:anchorId="02D698E8" wp14:editId="7DB4B18D">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A05288" id="Graphic 12" o:spid="_x0000_s1026" style="position:absolute;margin-left:0;margin-top:0;width:193.05pt;height:179.7pt;z-index:251665408;mso-position-horizontal:left;mso-position-horizontal-relative:page;mso-position-vertical:top;mso-position-vertical-relative:page;mso-width-relative:margin;mso-height-relative:margin" coordsize="38379,3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">
                <o:lock v:ext="edit" aspectratio="t"/>
                <v:shape id="_x0000_s1027" style="position:absolute;width:38379;height:35765;visibility:visible;mso-wrap-style:square;v-text-anchor:middle" coordsize="3837908,35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" path="m3837908,l3730943,c3545205,1831372,1986343,3143250,89726,3143917v-30036,,-59944,-318,-89726,-953l,3575590v29909,699,59849,1016,89821,952c2125790,3575876,3782282,2019967,3837908,xe" fillcolor="#13b5ea [3209]" stroked="f">
                  <v:fill color2="#13b5ea [3209]" o:opacity2="19660f" rotate="t" angle="44" focus="100%" type="gradien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" path="m123920,l56388,v1524,40862,2476,81915,2476,123158c58888,333108,39180,542594,,748856,69909,504820,111490,253547,123920,xe" fillcolor="#0081c6 [3215]" stroked="f">
                  <v:fill color2="#0081c6 [3215]" o:opacity2="19660f" angle="44" focus="100%" type="gradient">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" path="m2793302,16288c2793968,1510189,1583627,2833878,89726,2834545v-30004,,-59913,-762,-89726,-1810l,3142488v29813,857,59722,1429,89726,1429c1695450,3143250,2997137,1826705,2996470,220980v,-74485,-2762,-148145,-8287,-220980l2793111,v,5429,191,10859,191,16288xe" fillcolor="#13b5ea [3209]" stroked="f">
                  <v:fill color2="#13b5ea [3209]" o:opacity2="19660f" angle="44" focus="100%" type="gradient">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64384" behindDoc="0" locked="1" layoutInCell="1" allowOverlap="1" wp14:anchorId="180C740D" wp14:editId="30CCCA80">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63360" behindDoc="1" locked="1" layoutInCell="1" allowOverlap="1" wp14:anchorId="3B8157AF" wp14:editId="6C0D9D7A">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593026CC" w14:textId="7DBC87A4" w:rsidR="00490A46" w:rsidRPr="00DD6D63" w:rsidRDefault="00710C5C" w:rsidP="008C61B1">
      <w:pPr>
        <w:pStyle w:val="Subtitle"/>
      </w:pPr>
      <w:r>
        <w:t>engaging with inter-governmental mechanisms on the right to a healthy environment and climate change</w:t>
      </w:r>
    </w:p>
    <w:p w14:paraId="354B1AF0" w14:textId="4F013AA9" w:rsidR="00426790" w:rsidRPr="00426790" w:rsidRDefault="00490A46" w:rsidP="00426790">
      <w:pPr>
        <w:pStyle w:val="Title"/>
        <w:rPr>
          <w:sz w:val="52"/>
          <w:szCs w:val="52"/>
        </w:rPr>
      </w:pPr>
      <w:r w:rsidRPr="0069430E">
        <w:rPr>
          <w:sz w:val="52"/>
          <w:szCs w:val="52"/>
        </w:rPr>
        <w:t xml:space="preserve">Fact Sheet </w:t>
      </w:r>
      <w:r w:rsidR="00540CA7">
        <w:rPr>
          <w:sz w:val="52"/>
          <w:szCs w:val="52"/>
        </w:rPr>
        <w:t>2</w:t>
      </w:r>
      <w:r w:rsidRPr="0069430E">
        <w:rPr>
          <w:sz w:val="52"/>
          <w:szCs w:val="52"/>
        </w:rPr>
        <w:t xml:space="preserve"> </w:t>
      </w:r>
      <w:r w:rsidR="00DD6D63" w:rsidRPr="0069430E">
        <w:rPr>
          <w:sz w:val="52"/>
          <w:szCs w:val="52"/>
        </w:rPr>
        <w:br/>
      </w:r>
      <w:r w:rsidR="00426790" w:rsidRPr="00426790">
        <w:rPr>
          <w:sz w:val="52"/>
          <w:szCs w:val="52"/>
        </w:rPr>
        <w:t>Introducing the right to a healthy environment</w:t>
      </w:r>
    </w:p>
    <w:p w14:paraId="4FF1C479" w14:textId="77777777" w:rsidR="00883555" w:rsidRPr="00883555" w:rsidRDefault="00883555" w:rsidP="001D57FC">
      <w:r w:rsidRPr="00883555">
        <w:t xml:space="preserve">A safe, clean, healthy environment is necessary for all of us to thrive. It provides the foundation that allows us to live with dignity and enjoy </w:t>
      </w:r>
      <w:r w:rsidRPr="005144F7">
        <w:t>many</w:t>
      </w:r>
      <w:r w:rsidRPr="00883555">
        <w:t xml:space="preserve"> of our fundamental rights, including the rights to life, health, food, </w:t>
      </w:r>
      <w:proofErr w:type="gramStart"/>
      <w:r w:rsidRPr="00883555">
        <w:t>housing</w:t>
      </w:r>
      <w:proofErr w:type="gramEnd"/>
      <w:r w:rsidRPr="00883555">
        <w:t xml:space="preserve"> and safe drinking water. </w:t>
      </w:r>
    </w:p>
    <w:p w14:paraId="10601251" w14:textId="1C0B5EC4" w:rsidR="00883555" w:rsidRPr="00883555" w:rsidRDefault="00883555" w:rsidP="001D57FC">
      <w:r w:rsidRPr="00883555">
        <w:t xml:space="preserve">On 8 October 2021, the Human Rights </w:t>
      </w:r>
      <w:r w:rsidRPr="00E465F3">
        <w:rPr>
          <w:rFonts w:cstheme="minorHAnsi"/>
        </w:rPr>
        <w:t>Council</w:t>
      </w:r>
      <w:r w:rsidRPr="00883555">
        <w:t xml:space="preserve"> adopted a </w:t>
      </w:r>
      <w:hyperlink r:id="rId12" w:history="1">
        <w:r w:rsidRPr="002B7949">
          <w:rPr>
            <w:rStyle w:val="Hyperlink"/>
          </w:rPr>
          <w:t>landmark resolution</w:t>
        </w:r>
      </w:hyperlink>
      <w:r w:rsidRPr="00883555">
        <w:t xml:space="preserve"> recognising the right to a safe, clean, healthy and sustainable environment – or, more simply, the right to a healthy environment – as a universal right. This places it on the same level as other fundamental rights.</w:t>
      </w:r>
    </w:p>
    <w:p w14:paraId="57F0E3C3" w14:textId="77777777" w:rsidR="00883555" w:rsidRDefault="00883555" w:rsidP="001D57FC">
      <w:r w:rsidRPr="00883555">
        <w:t xml:space="preserve">While the resolution is not legally binding, it demonstrates a strong political commitment by UN Members States and can be a catalyst for sustained action to address the serious environmental issues facing communities in all parts of the globe. </w:t>
      </w:r>
    </w:p>
    <w:p w14:paraId="3CE63D2E" w14:textId="77777777" w:rsidR="00BB3892" w:rsidRPr="00B30B71" w:rsidRDefault="00BB3892" w:rsidP="00B30B71">
      <w:pPr>
        <w:pStyle w:val="Heading2"/>
      </w:pPr>
      <w:r w:rsidRPr="00B30B71">
        <w:t>A long journey to recognition</w:t>
      </w:r>
    </w:p>
    <w:p w14:paraId="2CF22DAC" w14:textId="77777777" w:rsidR="00BB3892" w:rsidRPr="00DA3ADD" w:rsidRDefault="00BB3892" w:rsidP="001D57FC">
      <w:r w:rsidRPr="00DA3ADD">
        <w:t xml:space="preserve">The 2021 Council resolution was </w:t>
      </w:r>
      <w:r w:rsidRPr="006A5B7F">
        <w:rPr>
          <w:rFonts w:cstheme="minorHAnsi"/>
        </w:rPr>
        <w:t xml:space="preserve">decades in the making. In </w:t>
      </w:r>
      <w:r w:rsidRPr="001D57FC">
        <w:t>1972</w:t>
      </w:r>
      <w:r w:rsidRPr="006A5B7F">
        <w:rPr>
          <w:rFonts w:cstheme="minorHAnsi"/>
        </w:rPr>
        <w:t>, the UN convened the</w:t>
      </w:r>
      <w:r w:rsidRPr="006A5B7F">
        <w:rPr>
          <w:rFonts w:cstheme="minorHAnsi"/>
          <w:color w:val="222222"/>
        </w:rPr>
        <w:t xml:space="preserve"> </w:t>
      </w:r>
      <w:hyperlink r:id="rId13" w:history="1">
        <w:r w:rsidRPr="006A5B7F">
          <w:rPr>
            <w:rStyle w:val="Hyperlink"/>
            <w:rFonts w:cstheme="minorHAnsi"/>
          </w:rPr>
          <w:t>first world conference on the environment</w:t>
        </w:r>
      </w:hyperlink>
      <w:r w:rsidRPr="006A5B7F">
        <w:rPr>
          <w:rFonts w:cstheme="minorHAnsi"/>
          <w:color w:val="222222"/>
        </w:rPr>
        <w:t xml:space="preserve"> </w:t>
      </w:r>
      <w:r w:rsidRPr="006A5B7F">
        <w:rPr>
          <w:rFonts w:cstheme="minorHAnsi"/>
        </w:rPr>
        <w:t>in Stockholm. Twenty years later, the</w:t>
      </w:r>
      <w:r w:rsidRPr="006A5B7F">
        <w:rPr>
          <w:rFonts w:cstheme="minorHAnsi"/>
          <w:color w:val="222222"/>
        </w:rPr>
        <w:t xml:space="preserve"> </w:t>
      </w:r>
      <w:hyperlink r:id="rId14" w:history="1">
        <w:r w:rsidRPr="006A5B7F">
          <w:rPr>
            <w:rStyle w:val="Hyperlink"/>
            <w:rFonts w:cstheme="minorHAnsi"/>
          </w:rPr>
          <w:t>Earth Summ</w:t>
        </w:r>
      </w:hyperlink>
      <w:hyperlink r:id="rId15" w:history="1">
        <w:r w:rsidRPr="006A5B7F">
          <w:rPr>
            <w:rStyle w:val="Hyperlink"/>
            <w:rFonts w:cstheme="minorHAnsi"/>
          </w:rPr>
          <w:t>it</w:t>
        </w:r>
      </w:hyperlink>
      <w:r w:rsidRPr="006A5B7F">
        <w:rPr>
          <w:rFonts w:cstheme="minorHAnsi"/>
          <w:color w:val="222222"/>
        </w:rPr>
        <w:t xml:space="preserve"> – </w:t>
      </w:r>
      <w:r w:rsidRPr="006A5B7F">
        <w:rPr>
          <w:rFonts w:cstheme="minorHAnsi"/>
        </w:rPr>
        <w:t xml:space="preserve">another landmark UN event - was held in Rio. Both </w:t>
      </w:r>
      <w:r w:rsidRPr="00642153">
        <w:t>conferences</w:t>
      </w:r>
      <w:r w:rsidRPr="006A5B7F">
        <w:rPr>
          <w:rFonts w:cstheme="minorHAnsi"/>
        </w:rPr>
        <w:t xml:space="preserve"> adopted important outcome statements</w:t>
      </w:r>
      <w:r w:rsidRPr="00DA3ADD">
        <w:t xml:space="preserve">. </w:t>
      </w:r>
    </w:p>
    <w:p w14:paraId="61CEFCEB" w14:textId="77777777" w:rsidR="00BB3892" w:rsidRPr="00DA3ADD" w:rsidRDefault="00BB3892" w:rsidP="001D57FC">
      <w:r w:rsidRPr="00DA3ADD">
        <w:t xml:space="preserve">Since then, efforts to address climate change and promote the right to a healthy environment and have gathered pace at the national, </w:t>
      </w:r>
      <w:proofErr w:type="gramStart"/>
      <w:r w:rsidRPr="00DA3ADD">
        <w:t>regional</w:t>
      </w:r>
      <w:proofErr w:type="gramEnd"/>
      <w:r w:rsidRPr="00DA3ADD">
        <w:t xml:space="preserve"> and international levels, with small island nations in the Asia Pacific among the leading voices promoting the need for concerted, collective action by the United Nations.</w:t>
      </w:r>
    </w:p>
    <w:p w14:paraId="148E895D" w14:textId="77777777" w:rsidR="00155774" w:rsidRDefault="00155774">
      <w:pPr>
        <w:rPr>
          <w:b/>
          <w:bCs/>
          <w:color w:val="0081C6" w:themeColor="text2"/>
          <w:sz w:val="30"/>
          <w:szCs w:val="30"/>
        </w:rPr>
      </w:pPr>
      <w:r>
        <w:br w:type="page"/>
      </w:r>
    </w:p>
    <w:p w14:paraId="457DCC79" w14:textId="6D98D9E8" w:rsidR="000B52F7" w:rsidRPr="000B52F7" w:rsidRDefault="000B52F7" w:rsidP="000B52F7">
      <w:pPr>
        <w:pStyle w:val="Heading1"/>
      </w:pPr>
      <w:r w:rsidRPr="000B52F7">
        <w:lastRenderedPageBreak/>
        <w:t>What does the right to a healthy environment include?</w:t>
      </w:r>
    </w:p>
    <w:p w14:paraId="3437A5F4" w14:textId="77777777" w:rsidR="000B52F7" w:rsidRPr="009C3203" w:rsidRDefault="000B52F7" w:rsidP="001D57FC">
      <w:pPr>
        <w:rPr>
          <w:rFonts w:cstheme="minorHAnsi"/>
        </w:rPr>
      </w:pPr>
      <w:r w:rsidRPr="009C3203">
        <w:rPr>
          <w:rFonts w:cstheme="minorHAnsi"/>
        </w:rPr>
        <w:t xml:space="preserve">The right to a </w:t>
      </w:r>
      <w:r w:rsidRPr="009C3203">
        <w:t>healthy</w:t>
      </w:r>
      <w:r w:rsidRPr="009C3203">
        <w:rPr>
          <w:rFonts w:cstheme="minorHAnsi"/>
        </w:rPr>
        <w:t xml:space="preserve"> </w:t>
      </w:r>
      <w:r w:rsidRPr="00642153">
        <w:t>environment</w:t>
      </w:r>
      <w:r w:rsidRPr="009C3203">
        <w:rPr>
          <w:rFonts w:cstheme="minorHAnsi"/>
        </w:rPr>
        <w:t xml:space="preserve"> includes </w:t>
      </w:r>
      <w:r w:rsidRPr="009C3203">
        <w:rPr>
          <w:rFonts w:cstheme="minorHAnsi"/>
          <w:b/>
          <w:bCs/>
        </w:rPr>
        <w:t>substantive</w:t>
      </w:r>
      <w:r w:rsidRPr="009C3203">
        <w:rPr>
          <w:rFonts w:cstheme="minorHAnsi"/>
        </w:rPr>
        <w:t xml:space="preserve"> and </w:t>
      </w:r>
      <w:r w:rsidRPr="009C3203">
        <w:rPr>
          <w:rFonts w:cstheme="minorHAnsi"/>
          <w:b/>
          <w:bCs/>
        </w:rPr>
        <w:t>procedural</w:t>
      </w:r>
      <w:r w:rsidRPr="009C3203">
        <w:rPr>
          <w:rFonts w:cstheme="minorHAnsi"/>
        </w:rPr>
        <w:t xml:space="preserve"> elements.  </w:t>
      </w:r>
    </w:p>
    <w:p w14:paraId="69A42079" w14:textId="23C7C71A" w:rsidR="00FE4D36" w:rsidRPr="009C3203" w:rsidRDefault="000B52F7" w:rsidP="001D57FC">
      <w:pPr>
        <w:rPr>
          <w:rFonts w:cstheme="minorHAnsi"/>
        </w:rPr>
      </w:pPr>
      <w:r w:rsidRPr="009C3203">
        <w:rPr>
          <w:rFonts w:cstheme="minorHAnsi"/>
        </w:rPr>
        <w:t xml:space="preserve">The </w:t>
      </w:r>
      <w:r w:rsidRPr="009C3203">
        <w:rPr>
          <w:rFonts w:cstheme="minorHAnsi"/>
          <w:b/>
          <w:bCs/>
        </w:rPr>
        <w:t>substantive elements</w:t>
      </w:r>
      <w:r w:rsidRPr="009C3203">
        <w:rPr>
          <w:rFonts w:cstheme="minorHAnsi"/>
        </w:rPr>
        <w:t xml:space="preserve"> set out </w:t>
      </w:r>
      <w:r w:rsidRPr="009C3203">
        <w:t>the</w:t>
      </w:r>
      <w:r w:rsidRPr="009C3203">
        <w:rPr>
          <w:rFonts w:cstheme="minorHAnsi"/>
        </w:rPr>
        <w:t xml:space="preserve"> </w:t>
      </w:r>
      <w:r w:rsidRPr="00642153">
        <w:t>environmental</w:t>
      </w:r>
      <w:r w:rsidRPr="009C3203">
        <w:rPr>
          <w:rFonts w:cstheme="minorHAnsi"/>
        </w:rPr>
        <w:t xml:space="preserve"> conditions that people need so they can fully enjoy their human rights</w:t>
      </w:r>
      <w:r w:rsidR="00AD1468">
        <w:rPr>
          <w:rFonts w:cstheme="minorHAnsi"/>
        </w:rPr>
        <w:t>. They</w:t>
      </w:r>
      <w:r w:rsidRPr="009C3203">
        <w:rPr>
          <w:rFonts w:cstheme="minorHAnsi"/>
        </w:rPr>
        <w:t xml:space="preserve"> includ</w:t>
      </w:r>
      <w:r w:rsidR="00AD1468">
        <w:rPr>
          <w:rFonts w:cstheme="minorHAnsi"/>
        </w:rPr>
        <w:t>e</w:t>
      </w:r>
      <w:r w:rsidRPr="009C3203">
        <w:rPr>
          <w:rFonts w:cstheme="minorHAnsi"/>
        </w:rPr>
        <w:t>:</w:t>
      </w:r>
    </w:p>
    <w:p w14:paraId="57D25B06" w14:textId="62E2650F" w:rsidR="000B52F7" w:rsidRPr="00BD0122" w:rsidRDefault="000B52F7" w:rsidP="0019449C">
      <w:pPr>
        <w:pStyle w:val="ListNumberUnderline"/>
        <w:numPr>
          <w:ilvl w:val="0"/>
          <w:numId w:val="4"/>
        </w:numPr>
        <w:ind w:left="426"/>
      </w:pPr>
      <w:r w:rsidRPr="00BD0122">
        <w:t>Clean air</w:t>
      </w:r>
    </w:p>
    <w:p w14:paraId="761BCE0C" w14:textId="58B2EAB1" w:rsidR="003F1EDE" w:rsidRPr="003F1EDE" w:rsidRDefault="003F1EDE" w:rsidP="0019449C">
      <w:pPr>
        <w:pStyle w:val="ListNumberUnderline"/>
        <w:numPr>
          <w:ilvl w:val="0"/>
          <w:numId w:val="4"/>
        </w:numPr>
        <w:ind w:left="426"/>
      </w:pPr>
      <w:r w:rsidRPr="003F1EDE">
        <w:t>Safe climate</w:t>
      </w:r>
    </w:p>
    <w:p w14:paraId="1494C5EB" w14:textId="224BEBB5" w:rsidR="003F1EDE" w:rsidRPr="00BD0122" w:rsidRDefault="003F1EDE" w:rsidP="0019449C">
      <w:pPr>
        <w:pStyle w:val="ListNumberUnderline"/>
        <w:numPr>
          <w:ilvl w:val="0"/>
          <w:numId w:val="4"/>
        </w:numPr>
        <w:ind w:left="426"/>
      </w:pPr>
      <w:r w:rsidRPr="00BD0122">
        <w:t>Safe water and adequate sanitation</w:t>
      </w:r>
    </w:p>
    <w:p w14:paraId="2A7980A5" w14:textId="77777777" w:rsidR="003F1EDE" w:rsidRPr="00BD0122" w:rsidRDefault="003F1EDE" w:rsidP="0019449C">
      <w:pPr>
        <w:pStyle w:val="ListNumberUnderline"/>
        <w:numPr>
          <w:ilvl w:val="0"/>
          <w:numId w:val="4"/>
        </w:numPr>
        <w:ind w:left="426"/>
      </w:pPr>
      <w:r w:rsidRPr="00BD0122">
        <w:t>Healthy and sustainably</w:t>
      </w:r>
      <w:r>
        <w:t xml:space="preserve"> </w:t>
      </w:r>
      <w:r w:rsidRPr="00BD0122">
        <w:t>produced food</w:t>
      </w:r>
    </w:p>
    <w:p w14:paraId="1248FD3B" w14:textId="77777777" w:rsidR="003F1EDE" w:rsidRPr="00BD0122" w:rsidRDefault="003F1EDE" w:rsidP="0019449C">
      <w:pPr>
        <w:pStyle w:val="ListNumberUnderline"/>
        <w:numPr>
          <w:ilvl w:val="0"/>
          <w:numId w:val="4"/>
        </w:numPr>
        <w:ind w:left="426"/>
      </w:pPr>
      <w:r w:rsidRPr="00BD0122">
        <w:t xml:space="preserve">Non-toxic environments in which to live, work, </w:t>
      </w:r>
      <w:proofErr w:type="gramStart"/>
      <w:r w:rsidRPr="00BD0122">
        <w:t>study</w:t>
      </w:r>
      <w:proofErr w:type="gramEnd"/>
      <w:r w:rsidRPr="00BD0122">
        <w:t xml:space="preserve"> and play</w:t>
      </w:r>
    </w:p>
    <w:p w14:paraId="15277842" w14:textId="2E539CCB" w:rsidR="003F1EDE" w:rsidRPr="00BD0122" w:rsidRDefault="003F1EDE" w:rsidP="0019449C">
      <w:pPr>
        <w:pStyle w:val="ListNumberUnderline"/>
        <w:numPr>
          <w:ilvl w:val="0"/>
          <w:numId w:val="4"/>
        </w:numPr>
        <w:ind w:left="426"/>
      </w:pPr>
      <w:r w:rsidRPr="00BD0122">
        <w:t>Healthy biodiversity and ecosystems</w:t>
      </w:r>
    </w:p>
    <w:p w14:paraId="02B90D06" w14:textId="1AFFA07E" w:rsidR="00FE4D36" w:rsidRPr="00597F83" w:rsidRDefault="00FE4D36" w:rsidP="00597F83">
      <w:pPr>
        <w:spacing w:before="320"/>
        <w:rPr>
          <w:rFonts w:cstheme="minorHAnsi"/>
        </w:rPr>
      </w:pPr>
      <w:r w:rsidRPr="00597F83">
        <w:rPr>
          <w:rFonts w:cstheme="minorHAnsi"/>
        </w:rPr>
        <w:t xml:space="preserve">The </w:t>
      </w:r>
      <w:r w:rsidRPr="00597F83">
        <w:rPr>
          <w:rFonts w:cstheme="minorHAnsi"/>
          <w:b/>
          <w:bCs/>
        </w:rPr>
        <w:t>procedural elements</w:t>
      </w:r>
      <w:r w:rsidRPr="00597F83">
        <w:rPr>
          <w:rFonts w:cstheme="minorHAnsi"/>
        </w:rPr>
        <w:t xml:space="preserve"> describe the </w:t>
      </w:r>
      <w:r w:rsidRPr="00642153">
        <w:t>processes</w:t>
      </w:r>
      <w:r w:rsidRPr="00597F83">
        <w:rPr>
          <w:rFonts w:cstheme="minorHAnsi"/>
        </w:rPr>
        <w:t xml:space="preserve"> that </w:t>
      </w:r>
      <w:r w:rsidRPr="00C274A6">
        <w:t>S</w:t>
      </w:r>
      <w:r w:rsidR="001C7C23">
        <w:t>t</w:t>
      </w:r>
      <w:r w:rsidRPr="00C274A6">
        <w:t>ates</w:t>
      </w:r>
      <w:r w:rsidRPr="00597F83">
        <w:rPr>
          <w:rFonts w:cstheme="minorHAnsi"/>
        </w:rPr>
        <w:t xml:space="preserve"> must take to ensure that individuals and communities are engaged in promoting and securing the right to a healthy environment, including:  </w:t>
      </w:r>
    </w:p>
    <w:p w14:paraId="713F89F0" w14:textId="77777777" w:rsidR="00FE4D36" w:rsidRPr="00BE1B9C" w:rsidRDefault="00FE4D36" w:rsidP="0019449C">
      <w:pPr>
        <w:pStyle w:val="ListNumberUnderline"/>
        <w:numPr>
          <w:ilvl w:val="0"/>
          <w:numId w:val="4"/>
        </w:numPr>
        <w:ind w:left="426"/>
      </w:pPr>
      <w:r w:rsidRPr="00BE1B9C">
        <w:t>Access to environmental information</w:t>
      </w:r>
    </w:p>
    <w:p w14:paraId="3B3F95DF" w14:textId="77777777" w:rsidR="00FE4D36" w:rsidRDefault="00FE4D36" w:rsidP="0019449C">
      <w:pPr>
        <w:pStyle w:val="ListNumberUnderline"/>
        <w:numPr>
          <w:ilvl w:val="0"/>
          <w:numId w:val="4"/>
        </w:numPr>
        <w:ind w:left="426"/>
      </w:pPr>
      <w:r w:rsidRPr="00BE1B9C">
        <w:t>Participation in environmental decision-making</w:t>
      </w:r>
    </w:p>
    <w:p w14:paraId="4391B0CB" w14:textId="559E50E0" w:rsidR="0019449C" w:rsidRPr="00E81AD4" w:rsidRDefault="0019449C" w:rsidP="0019449C">
      <w:pPr>
        <w:pStyle w:val="ListNumberUnderline"/>
        <w:numPr>
          <w:ilvl w:val="0"/>
          <w:numId w:val="4"/>
        </w:numPr>
        <w:ind w:left="426"/>
        <w:rPr>
          <w:rFonts w:ascii="Arial" w:hAnsi="Arial" w:cs="Arial"/>
          <w:sz w:val="22"/>
          <w:szCs w:val="22"/>
        </w:rPr>
      </w:pPr>
      <w:r w:rsidRPr="00BE1B9C">
        <w:t>Access to effective remedies</w:t>
      </w:r>
    </w:p>
    <w:p w14:paraId="59242643" w14:textId="77777777" w:rsidR="00487A5E" w:rsidRPr="00487A5E" w:rsidRDefault="00C57FA3" w:rsidP="00487A5E">
      <w:pPr>
        <w:pStyle w:val="Quote"/>
        <w:contextualSpacing/>
        <w:rPr>
          <w:rFonts w:cstheme="minorHAnsi"/>
        </w:rPr>
      </w:pPr>
      <w:r w:rsidRPr="00C57FA3">
        <w:rPr>
          <w:rFonts w:cstheme="minorHAnsi"/>
        </w:rPr>
        <w:t xml:space="preserve">“Bold action is now required to ensure this resolution on the right to a healthy environment serves as a springboard to push for transformative economic, social and environmental policies that will protect </w:t>
      </w:r>
      <w:r w:rsidRPr="00487A5E">
        <w:rPr>
          <w:rFonts w:cstheme="minorHAnsi"/>
        </w:rPr>
        <w:t xml:space="preserve">people and nature.” </w:t>
      </w:r>
    </w:p>
    <w:p w14:paraId="42084C5E" w14:textId="4D4131E6" w:rsidR="00487A5E" w:rsidRPr="00076459" w:rsidRDefault="00487A5E" w:rsidP="00487A5E">
      <w:pPr>
        <w:pStyle w:val="Quote"/>
        <w:contextualSpacing/>
        <w:rPr>
          <w:rFonts w:cstheme="minorHAnsi"/>
          <w:i w:val="0"/>
          <w:iCs w:val="0"/>
        </w:rPr>
      </w:pPr>
      <w:r w:rsidRPr="00076459">
        <w:rPr>
          <w:rFonts w:ascii="Arial" w:hAnsi="Arial" w:cs="Arial"/>
          <w:i w:val="0"/>
          <w:iCs w:val="0"/>
        </w:rPr>
        <w:t>Michelle Bachelet, UN High Commissioner for Human Rights</w:t>
      </w:r>
    </w:p>
    <w:p w14:paraId="2C728FED" w14:textId="77777777" w:rsidR="00487A5E" w:rsidRPr="00487A5E" w:rsidRDefault="00487A5E" w:rsidP="00487A5E"/>
    <w:p w14:paraId="4695D7F8" w14:textId="77777777" w:rsidR="00DF139B" w:rsidRPr="00146BBD" w:rsidRDefault="00DF139B" w:rsidP="000B52F7">
      <w:pPr>
        <w:rPr>
          <w:rFonts w:cstheme="minorHAnsi"/>
          <w:sz w:val="22"/>
          <w:szCs w:val="22"/>
        </w:rPr>
      </w:pPr>
    </w:p>
    <w:p w14:paraId="1A47ED13" w14:textId="77777777" w:rsidR="00381C1B" w:rsidRDefault="00381C1B">
      <w:pPr>
        <w:rPr>
          <w:b/>
          <w:bCs/>
          <w:color w:val="0081C6" w:themeColor="text2"/>
          <w:sz w:val="30"/>
          <w:szCs w:val="30"/>
        </w:rPr>
      </w:pPr>
      <w:r>
        <w:br w:type="page"/>
      </w:r>
    </w:p>
    <w:p w14:paraId="40CA0617" w14:textId="77777777" w:rsidR="00381C1B" w:rsidRPr="00381C1B" w:rsidRDefault="00381C1B" w:rsidP="00381C1B">
      <w:pPr>
        <w:pStyle w:val="Heading1"/>
      </w:pPr>
      <w:r w:rsidRPr="00381C1B">
        <w:lastRenderedPageBreak/>
        <w:t>What are the obligations on States?</w:t>
      </w:r>
    </w:p>
    <w:p w14:paraId="21587E05" w14:textId="77777777" w:rsidR="00381C1B" w:rsidRPr="00EC3ED3" w:rsidRDefault="00381C1B" w:rsidP="00C274A6">
      <w:pPr>
        <w:rPr>
          <w:rFonts w:ascii="Arial" w:hAnsi="Arial" w:cs="Arial"/>
        </w:rPr>
      </w:pPr>
      <w:r w:rsidRPr="00EC3ED3">
        <w:rPr>
          <w:rFonts w:ascii="Arial" w:hAnsi="Arial" w:cs="Arial"/>
        </w:rPr>
        <w:t xml:space="preserve">While the 2021 Council resolution is non-binding, </w:t>
      </w:r>
      <w:r w:rsidRPr="005144F7">
        <w:t>States</w:t>
      </w:r>
      <w:r w:rsidRPr="00EC3ED3">
        <w:rPr>
          <w:rFonts w:ascii="Arial" w:hAnsi="Arial" w:cs="Arial"/>
        </w:rPr>
        <w:t xml:space="preserve"> </w:t>
      </w:r>
      <w:r w:rsidRPr="00C274A6">
        <w:t>have</w:t>
      </w:r>
      <w:r w:rsidRPr="00EC3ED3">
        <w:rPr>
          <w:rFonts w:ascii="Arial" w:hAnsi="Arial" w:cs="Arial"/>
        </w:rPr>
        <w:t xml:space="preserve"> human rights obligations in relation to the environment set out in a wide range of international human </w:t>
      </w:r>
      <w:r w:rsidRPr="00642153">
        <w:t>rights</w:t>
      </w:r>
      <w:r w:rsidRPr="00EC3ED3">
        <w:rPr>
          <w:rFonts w:ascii="Arial" w:hAnsi="Arial" w:cs="Arial"/>
        </w:rPr>
        <w:t xml:space="preserve"> treaties, recommendations from UN mechanisms and bodies, and international environmental instruments, among others.</w:t>
      </w:r>
    </w:p>
    <w:p w14:paraId="707E2AC5" w14:textId="711EBE7C" w:rsidR="00EC3ED3" w:rsidRPr="000D0EB1" w:rsidRDefault="00BF376D" w:rsidP="000D0EB1">
      <w:r w:rsidRPr="000D0EB1">
        <w:rPr>
          <w:rFonts w:ascii="Arial" w:hAnsi="Arial" w:cs="Arial"/>
        </w:rPr>
        <w:t xml:space="preserve">The </w:t>
      </w:r>
      <w:hyperlink r:id="rId16" w:history="1">
        <w:r w:rsidRPr="000D0EB1">
          <w:rPr>
            <w:rStyle w:val="Hyperlink"/>
            <w:rFonts w:ascii="Arial" w:hAnsi="Arial" w:cs="Arial"/>
          </w:rPr>
          <w:t>Framework Principles on Human Rights and the Environment</w:t>
        </w:r>
      </w:hyperlink>
      <w:r w:rsidRPr="000D0EB1">
        <w:rPr>
          <w:rFonts w:ascii="Arial" w:hAnsi="Arial" w:cs="Arial"/>
        </w:rPr>
        <w:t xml:space="preserve"> set out the basic obligations on States, including:</w:t>
      </w:r>
    </w:p>
    <w:p w14:paraId="62F7B0E0" w14:textId="3C9B6B19" w:rsidR="00EC3ED3" w:rsidRPr="00EC3ED3" w:rsidRDefault="00EC3ED3" w:rsidP="00C7213C">
      <w:pPr>
        <w:pStyle w:val="ListNumberUnderline"/>
        <w:numPr>
          <w:ilvl w:val="0"/>
          <w:numId w:val="4"/>
        </w:numPr>
        <w:ind w:left="426"/>
      </w:pPr>
      <w:r w:rsidRPr="001675A3">
        <w:rPr>
          <w:b/>
          <w:bCs/>
        </w:rPr>
        <w:t>Substantive obligations</w:t>
      </w:r>
      <w:r w:rsidRPr="00EC3ED3">
        <w:t xml:space="preserve"> to adopt legal and institutional frameworks to protect against environmental harm, including harm caused by private actors and transboundary environmental harm</w:t>
      </w:r>
      <w:r w:rsidR="00AE4EB3">
        <w:t>.</w:t>
      </w:r>
    </w:p>
    <w:p w14:paraId="2ACAE72E" w14:textId="0BD2D3DC" w:rsidR="00EC3ED3" w:rsidRPr="00EC3ED3" w:rsidRDefault="00EC3ED3" w:rsidP="00C7213C">
      <w:pPr>
        <w:pStyle w:val="ListNumberUnderline"/>
        <w:numPr>
          <w:ilvl w:val="0"/>
          <w:numId w:val="4"/>
        </w:numPr>
        <w:ind w:left="426"/>
      </w:pPr>
      <w:r w:rsidRPr="001675A3">
        <w:rPr>
          <w:b/>
          <w:bCs/>
        </w:rPr>
        <w:t>Procedural obligations</w:t>
      </w:r>
      <w:r w:rsidRPr="00EC3ED3">
        <w:t> to equip people with environmental information, to facilitate their participation in decision-making, and to provide access to remedies for harm</w:t>
      </w:r>
      <w:r w:rsidR="00AE4EB3">
        <w:t>.</w:t>
      </w:r>
    </w:p>
    <w:p w14:paraId="451388CF" w14:textId="77777777" w:rsidR="00EC3ED3" w:rsidRPr="00C7213C" w:rsidRDefault="00EC3ED3" w:rsidP="00C7213C">
      <w:pPr>
        <w:pStyle w:val="ListNumberUnderline"/>
        <w:numPr>
          <w:ilvl w:val="0"/>
          <w:numId w:val="4"/>
        </w:numPr>
        <w:ind w:left="426"/>
      </w:pPr>
      <w:r w:rsidRPr="001675A3">
        <w:rPr>
          <w:b/>
          <w:bCs/>
        </w:rPr>
        <w:t>Non-discrimination and protection obligations</w:t>
      </w:r>
      <w:r w:rsidRPr="00EC3ED3">
        <w:t>, with a focus on groups in situations of vulnerability and environmental human rights defenders.</w:t>
      </w:r>
    </w:p>
    <w:p w14:paraId="448BAF49" w14:textId="7B8D9631" w:rsidR="00164AFD" w:rsidRPr="00E11A2E" w:rsidRDefault="00164AFD" w:rsidP="00534707">
      <w:pPr>
        <w:pStyle w:val="Heading2"/>
        <w:spacing w:before="320"/>
      </w:pPr>
      <w:r w:rsidRPr="00E11A2E">
        <w:t>Legal backing for a healthy environment</w:t>
      </w:r>
    </w:p>
    <w:p w14:paraId="3DD0557E" w14:textId="77777777" w:rsidR="00164AFD" w:rsidRPr="00C83465" w:rsidRDefault="00164AFD" w:rsidP="00C83465">
      <w:pPr>
        <w:rPr>
          <w:rFonts w:ascii="Arial" w:hAnsi="Arial" w:cs="Arial"/>
        </w:rPr>
      </w:pPr>
      <w:r w:rsidRPr="00C83465">
        <w:rPr>
          <w:rFonts w:ascii="Arial" w:hAnsi="Arial" w:cs="Arial"/>
        </w:rPr>
        <w:t>When States give legal recognition to the right to a healthy environment, it can make a profound difference at the national level, through:</w:t>
      </w:r>
    </w:p>
    <w:p w14:paraId="7C6C91AB" w14:textId="77777777" w:rsidR="00164AFD" w:rsidRPr="00326FF4" w:rsidRDefault="00164AFD" w:rsidP="00326FF4">
      <w:pPr>
        <w:pStyle w:val="ListNumberUnderline"/>
        <w:numPr>
          <w:ilvl w:val="0"/>
          <w:numId w:val="4"/>
        </w:numPr>
        <w:ind w:left="426"/>
      </w:pPr>
      <w:r w:rsidRPr="00326FF4">
        <w:t>Stronger environmental protection laws and policies</w:t>
      </w:r>
    </w:p>
    <w:p w14:paraId="6C1D5796" w14:textId="77777777" w:rsidR="00164AFD" w:rsidRPr="00326FF4" w:rsidRDefault="00164AFD" w:rsidP="00326FF4">
      <w:pPr>
        <w:pStyle w:val="ListNumberUnderline"/>
        <w:numPr>
          <w:ilvl w:val="0"/>
          <w:numId w:val="4"/>
        </w:numPr>
        <w:ind w:left="426"/>
      </w:pPr>
      <w:r w:rsidRPr="00326FF4">
        <w:t>Improved implementation and enforcement of environmental regulations</w:t>
      </w:r>
    </w:p>
    <w:p w14:paraId="3CB6091B" w14:textId="77777777" w:rsidR="00164AFD" w:rsidRPr="00326FF4" w:rsidRDefault="00164AFD" w:rsidP="00326FF4">
      <w:pPr>
        <w:pStyle w:val="ListNumberUnderline"/>
        <w:numPr>
          <w:ilvl w:val="0"/>
          <w:numId w:val="4"/>
        </w:numPr>
        <w:ind w:left="426"/>
      </w:pPr>
      <w:r w:rsidRPr="00326FF4">
        <w:t>Greater public participation in environmental decision-making</w:t>
      </w:r>
    </w:p>
    <w:p w14:paraId="2E883524" w14:textId="77777777" w:rsidR="00164AFD" w:rsidRPr="00326FF4" w:rsidRDefault="00164AFD" w:rsidP="00326FF4">
      <w:pPr>
        <w:pStyle w:val="ListNumberUnderline"/>
        <w:numPr>
          <w:ilvl w:val="0"/>
          <w:numId w:val="4"/>
        </w:numPr>
        <w:ind w:left="426"/>
      </w:pPr>
      <w:r w:rsidRPr="00326FF4">
        <w:t>Increased environmental education</w:t>
      </w:r>
    </w:p>
    <w:p w14:paraId="3A6B61DF" w14:textId="77777777" w:rsidR="00164AFD" w:rsidRPr="00326FF4" w:rsidRDefault="00164AFD" w:rsidP="00326FF4">
      <w:pPr>
        <w:pStyle w:val="ListNumberUnderline"/>
        <w:numPr>
          <w:ilvl w:val="0"/>
          <w:numId w:val="4"/>
        </w:numPr>
        <w:ind w:left="426"/>
      </w:pPr>
      <w:r w:rsidRPr="00326FF4">
        <w:t xml:space="preserve">Reduced environmental injustices </w:t>
      </w:r>
    </w:p>
    <w:p w14:paraId="5549D9F3" w14:textId="77777777" w:rsidR="00350233" w:rsidRPr="00326FF4" w:rsidRDefault="00164AFD" w:rsidP="00326FF4">
      <w:pPr>
        <w:pStyle w:val="ListNumberUnderline"/>
        <w:numPr>
          <w:ilvl w:val="0"/>
          <w:numId w:val="4"/>
        </w:numPr>
        <w:ind w:left="426"/>
      </w:pPr>
      <w:r w:rsidRPr="00326FF4">
        <w:t>Better environmental performance</w:t>
      </w:r>
    </w:p>
    <w:p w14:paraId="23A01C11" w14:textId="77777777" w:rsidR="001675A3" w:rsidRDefault="001675A3">
      <w:pPr>
        <w:rPr>
          <w:b/>
          <w:bCs/>
          <w:color w:val="808285"/>
          <w:spacing w:val="6"/>
          <w:sz w:val="23"/>
          <w:szCs w:val="23"/>
        </w:rPr>
      </w:pPr>
      <w:r>
        <w:br w:type="page"/>
      </w:r>
    </w:p>
    <w:p w14:paraId="3659B250" w14:textId="324BDE68" w:rsidR="007F6596" w:rsidRPr="00194D25" w:rsidRDefault="007F6596" w:rsidP="00436CD3">
      <w:pPr>
        <w:pStyle w:val="Heading2"/>
        <w:spacing w:before="320"/>
      </w:pPr>
      <w:r w:rsidRPr="00194D25">
        <w:lastRenderedPageBreak/>
        <w:t>Prioritising those most at risk of harm</w:t>
      </w:r>
    </w:p>
    <w:p w14:paraId="2A1A7AC2" w14:textId="77777777" w:rsidR="007F6596" w:rsidRPr="00194D25" w:rsidRDefault="007F6596" w:rsidP="007F6596">
      <w:pPr>
        <w:rPr>
          <w:rFonts w:ascii="Arial" w:hAnsi="Arial" w:cs="Arial"/>
        </w:rPr>
      </w:pPr>
      <w:r w:rsidRPr="00194D25">
        <w:rPr>
          <w:rFonts w:ascii="Arial" w:hAnsi="Arial" w:cs="Arial"/>
        </w:rPr>
        <w:t xml:space="preserve">The human rights impacts of climate change and environmental damage are felt by all people, in all communities. However, some groups – especially women, </w:t>
      </w:r>
      <w:proofErr w:type="gramStart"/>
      <w:r w:rsidRPr="00194D25">
        <w:rPr>
          <w:rFonts w:ascii="Arial" w:hAnsi="Arial" w:cs="Arial"/>
        </w:rPr>
        <w:t>children</w:t>
      </w:r>
      <w:proofErr w:type="gramEnd"/>
      <w:r w:rsidRPr="00194D25">
        <w:rPr>
          <w:rFonts w:ascii="Arial" w:hAnsi="Arial" w:cs="Arial"/>
        </w:rPr>
        <w:t xml:space="preserve"> and indigenous peoples – can face heightened risks and impacts. </w:t>
      </w:r>
    </w:p>
    <w:p w14:paraId="54E43A32" w14:textId="4FDA3909" w:rsidR="007F6596" w:rsidRDefault="007F6596" w:rsidP="007F6596">
      <w:pPr>
        <w:rPr>
          <w:rFonts w:ascii="Arial" w:hAnsi="Arial" w:cs="Arial"/>
        </w:rPr>
      </w:pPr>
      <w:r w:rsidRPr="00194D25">
        <w:rPr>
          <w:rFonts w:ascii="Arial" w:hAnsi="Arial" w:cs="Arial"/>
        </w:rPr>
        <w:t>It is the responsibility of States to identify and respond to the specific human rights challenges these groups face.</w:t>
      </w:r>
      <w:r>
        <w:rPr>
          <w:rFonts w:ascii="Arial" w:hAnsi="Arial" w:cs="Arial"/>
        </w:rPr>
        <w:t xml:space="preserve"> </w:t>
      </w:r>
      <w:proofErr w:type="gramStart"/>
      <w:r w:rsidRPr="00194D25">
        <w:rPr>
          <w:rFonts w:ascii="Arial" w:hAnsi="Arial" w:cs="Arial"/>
        </w:rPr>
        <w:t>In doing so, it</w:t>
      </w:r>
      <w:proofErr w:type="gramEnd"/>
      <w:r w:rsidRPr="00194D25">
        <w:rPr>
          <w:rFonts w:ascii="Arial" w:hAnsi="Arial" w:cs="Arial"/>
        </w:rPr>
        <w:t xml:space="preserve"> is vital that these groups are not seen solely through the prism of vulnerability. They should also be recognised as agents of change and essential partners in </w:t>
      </w:r>
      <w:r w:rsidR="004C28CD">
        <w:rPr>
          <w:rFonts w:ascii="Arial" w:hAnsi="Arial" w:cs="Arial"/>
        </w:rPr>
        <w:t xml:space="preserve">climate action and efforts to </w:t>
      </w:r>
      <w:r w:rsidRPr="00194D25">
        <w:rPr>
          <w:rFonts w:ascii="Arial" w:hAnsi="Arial" w:cs="Arial"/>
        </w:rPr>
        <w:t>protect a healthy environment.</w:t>
      </w:r>
    </w:p>
    <w:p w14:paraId="7030BFD0" w14:textId="77777777" w:rsidR="00772169" w:rsidRDefault="007F6596" w:rsidP="00772169">
      <w:pPr>
        <w:rPr>
          <w:rFonts w:ascii="Arial" w:hAnsi="Arial" w:cs="Arial"/>
        </w:rPr>
      </w:pPr>
      <w:r w:rsidRPr="00194D25">
        <w:rPr>
          <w:rFonts w:ascii="Arial" w:hAnsi="Arial" w:cs="Arial"/>
        </w:rPr>
        <w:t xml:space="preserve">States, national human rights institutions </w:t>
      </w:r>
      <w:r w:rsidR="00BB20B0">
        <w:rPr>
          <w:rFonts w:ascii="Arial" w:hAnsi="Arial" w:cs="Arial"/>
        </w:rPr>
        <w:t xml:space="preserve">(NHRIs) </w:t>
      </w:r>
      <w:r w:rsidRPr="00194D25">
        <w:rPr>
          <w:rFonts w:ascii="Arial" w:hAnsi="Arial" w:cs="Arial"/>
        </w:rPr>
        <w:t>and regional mechanisms should engage with these groups and develop solutions according to the guiding principles set out in relevant international human rights treaties and declarations.</w:t>
      </w:r>
    </w:p>
    <w:p w14:paraId="78E16EE3" w14:textId="1840274F" w:rsidR="00381C1B" w:rsidRPr="00C53A3D" w:rsidRDefault="00381C1B" w:rsidP="00772169">
      <w:pPr>
        <w:pStyle w:val="Heading1"/>
      </w:pPr>
      <w:r w:rsidRPr="00C53A3D">
        <w:t>NHRIs and regional mechanisms: Drivers for change</w:t>
      </w:r>
    </w:p>
    <w:p w14:paraId="76ACC359" w14:textId="376B5843" w:rsidR="00C80468" w:rsidRPr="00C80468" w:rsidRDefault="00C80468" w:rsidP="00C80468">
      <w:pPr>
        <w:rPr>
          <w:rFonts w:ascii="Arial" w:hAnsi="Arial" w:cs="Arial"/>
        </w:rPr>
      </w:pPr>
      <w:r w:rsidRPr="00C80468">
        <w:rPr>
          <w:rFonts w:ascii="Arial" w:hAnsi="Arial" w:cs="Arial"/>
        </w:rPr>
        <w:t xml:space="preserve">With their unique and complementary mandates, </w:t>
      </w:r>
      <w:r w:rsidR="00BB20B0">
        <w:rPr>
          <w:rFonts w:ascii="Arial" w:hAnsi="Arial" w:cs="Arial"/>
        </w:rPr>
        <w:t>NHRIs</w:t>
      </w:r>
      <w:r w:rsidRPr="00C80468">
        <w:rPr>
          <w:rFonts w:ascii="Arial" w:hAnsi="Arial" w:cs="Arial"/>
        </w:rPr>
        <w:t xml:space="preserve"> and regional mechanisms can play a key role to collaborate for the implementation of the right to a healthy environment. </w:t>
      </w:r>
    </w:p>
    <w:p w14:paraId="0FBCF8DB" w14:textId="77777777" w:rsidR="00C80468" w:rsidRPr="00C80468" w:rsidRDefault="00C80468" w:rsidP="00C80468">
      <w:pPr>
        <w:rPr>
          <w:rFonts w:ascii="Arial" w:hAnsi="Arial" w:cs="Arial"/>
        </w:rPr>
      </w:pPr>
      <w:r w:rsidRPr="00C80468">
        <w:rPr>
          <w:rFonts w:ascii="Arial" w:hAnsi="Arial" w:cs="Arial"/>
        </w:rPr>
        <w:t>This 2021 Council resolution calls for this close collaboration, which has been demonstrated in practice over many years in the working relationships established between NHRIs and regional mechanisms in Africa, the Americas and Europe.</w:t>
      </w:r>
    </w:p>
    <w:p w14:paraId="222E1B0E" w14:textId="628364AD" w:rsidR="00C80468" w:rsidRPr="00C80468" w:rsidRDefault="00C80468" w:rsidP="00C80468">
      <w:pPr>
        <w:rPr>
          <w:rFonts w:ascii="Arial" w:hAnsi="Arial" w:cs="Arial"/>
        </w:rPr>
      </w:pPr>
      <w:r w:rsidRPr="00C80468">
        <w:rPr>
          <w:rFonts w:ascii="Arial" w:hAnsi="Arial" w:cs="Arial"/>
        </w:rPr>
        <w:t xml:space="preserve">Regional mechanisms have the authority to promote human rights standards and provide guidance to States, while reflecting regional priorities and concerns. At the same time, NHRIs can be credible and effective partners at the national level, using their mandate to monitor, assist and report on </w:t>
      </w:r>
      <w:r w:rsidR="002F28AF">
        <w:rPr>
          <w:rFonts w:ascii="Arial" w:hAnsi="Arial" w:cs="Arial"/>
        </w:rPr>
        <w:t xml:space="preserve">the </w:t>
      </w:r>
      <w:r w:rsidRPr="00C80468">
        <w:rPr>
          <w:rFonts w:ascii="Arial" w:hAnsi="Arial" w:cs="Arial"/>
        </w:rPr>
        <w:t>implementation of the right to a healthy environment.</w:t>
      </w:r>
    </w:p>
    <w:p w14:paraId="02617E9A" w14:textId="77777777" w:rsidR="001474F5" w:rsidRPr="00C53A3D" w:rsidRDefault="001474F5" w:rsidP="001474F5">
      <w:pPr>
        <w:pStyle w:val="Quote"/>
        <w:contextualSpacing/>
      </w:pPr>
      <w:r w:rsidRPr="00C53A3D">
        <w:t xml:space="preserve">“National human rights institutions are at the forefront of protecting and promoting human rights ... These institutions engage actors who are knowledgeable and who have the existing authority and networks capable of promoting, </w:t>
      </w:r>
      <w:proofErr w:type="gramStart"/>
      <w:r w:rsidRPr="00C53A3D">
        <w:t>implementing</w:t>
      </w:r>
      <w:proofErr w:type="gramEnd"/>
      <w:r w:rsidRPr="00C53A3D">
        <w:t xml:space="preserve"> and defending the right to a healthy environment.” </w:t>
      </w:r>
    </w:p>
    <w:p w14:paraId="71428C25" w14:textId="77777777" w:rsidR="001474F5" w:rsidRPr="001474F5" w:rsidRDefault="001474F5" w:rsidP="001474F5">
      <w:pPr>
        <w:pStyle w:val="Quote"/>
        <w:contextualSpacing/>
        <w:rPr>
          <w:i w:val="0"/>
          <w:iCs w:val="0"/>
        </w:rPr>
      </w:pPr>
      <w:r w:rsidRPr="001474F5">
        <w:rPr>
          <w:i w:val="0"/>
          <w:iCs w:val="0"/>
        </w:rPr>
        <w:t>David Boyd, UN Special Rapporteur on human rights and the environment</w:t>
      </w:r>
    </w:p>
    <w:p w14:paraId="64EF6C97" w14:textId="42C1844F" w:rsidR="009465F3" w:rsidRDefault="000432D1">
      <w:r>
        <w:rPr>
          <w:noProof/>
        </w:rPr>
        <w:drawing>
          <wp:inline distT="0" distB="0" distL="0" distR="0" wp14:anchorId="14FDA750" wp14:editId="354075F4">
            <wp:extent cx="5759450" cy="1796031"/>
            <wp:effectExtent l="0" t="0" r="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59450" cy="1796031"/>
                    </a:xfrm>
                    <a:prstGeom prst="rect">
                      <a:avLst/>
                    </a:prstGeom>
                  </pic:spPr>
                </pic:pic>
              </a:graphicData>
            </a:graphic>
          </wp:inline>
        </w:drawing>
      </w:r>
    </w:p>
    <w:sectPr w:rsidR="009465F3" w:rsidSect="0052571D">
      <w:headerReference w:type="even" r:id="rId18"/>
      <w:headerReference w:type="default" r:id="rId19"/>
      <w:footerReference w:type="even" r:id="rId20"/>
      <w:footerReference w:type="default" r:id="rId21"/>
      <w:headerReference w:type="first" r:id="rId22"/>
      <w:footerReference w:type="first" r:id="rId23"/>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53EE" w14:textId="77777777" w:rsidR="00A80C79" w:rsidRDefault="00A80C79" w:rsidP="00B8744F">
      <w:pPr>
        <w:spacing w:after="0" w:line="240" w:lineRule="auto"/>
      </w:pPr>
      <w:r>
        <w:separator/>
      </w:r>
    </w:p>
  </w:endnote>
  <w:endnote w:type="continuationSeparator" w:id="0">
    <w:p w14:paraId="64F02DEA" w14:textId="77777777" w:rsidR="00A80C79" w:rsidRDefault="00A80C79" w:rsidP="00B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C694" w14:textId="77777777" w:rsidR="00C93320" w:rsidRDefault="00C9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85D" w14:textId="77777777" w:rsidR="004B508F" w:rsidRDefault="00742069" w:rsidP="00B8744F">
    <w:pPr>
      <w:pStyle w:val="Footer"/>
      <w:tabs>
        <w:tab w:val="clear" w:pos="9026"/>
        <w:tab w:val="right" w:pos="9637"/>
      </w:tabs>
      <w:ind w:left="-567" w:right="-567"/>
      <w:rPr>
        <w:rStyle w:val="Strong"/>
      </w:rPr>
    </w:pPr>
    <w:r>
      <w:rPr>
        <w:rStyle w:val="Strong"/>
      </w:rPr>
      <w:t xml:space="preserve">Engaging with Inter-Governmental Mechanisms </w:t>
    </w:r>
    <w:r w:rsidR="004B508F">
      <w:rPr>
        <w:rStyle w:val="Strong"/>
      </w:rPr>
      <w:t xml:space="preserve">on the Right to a Healthy Environment and Climate Change </w:t>
    </w:r>
    <w:r w:rsidR="00B8744F" w:rsidRPr="00B8744F">
      <w:rPr>
        <w:rStyle w:val="Strong"/>
      </w:rPr>
      <w:t>Fact Sheet Series</w:t>
    </w:r>
  </w:p>
  <w:p w14:paraId="5D34B81B" w14:textId="77777777" w:rsidR="00C93320" w:rsidRDefault="00B8744F" w:rsidP="00B8744F">
    <w:pPr>
      <w:pStyle w:val="Footer"/>
      <w:tabs>
        <w:tab w:val="clear" w:pos="9026"/>
        <w:tab w:val="right" w:pos="9637"/>
      </w:tabs>
      <w:ind w:left="-567" w:right="-567"/>
    </w:pPr>
    <w:r w:rsidRPr="00B8744F">
      <w:t xml:space="preserve">Fact Sheet </w:t>
    </w:r>
    <w:r w:rsidR="002319CE">
      <w:t>2</w:t>
    </w:r>
    <w:r w:rsidRPr="00B8744F">
      <w:t xml:space="preserve">: </w:t>
    </w:r>
    <w:r w:rsidR="002319CE">
      <w:t>Introducing the Right to a Healthy Environment</w:t>
    </w:r>
  </w:p>
  <w:p w14:paraId="3D328D10" w14:textId="4A87D40D" w:rsidR="00B8744F" w:rsidRPr="00B8744F" w:rsidRDefault="00B8744F" w:rsidP="00C93320">
    <w:pPr>
      <w:pStyle w:val="Footer"/>
      <w:tabs>
        <w:tab w:val="clear" w:pos="9026"/>
        <w:tab w:val="right" w:pos="9637"/>
      </w:tabs>
      <w:ind w:left="-567" w:right="-567"/>
      <w:jc w:val="right"/>
    </w:pPr>
    <w:r w:rsidRPr="00B8744F">
      <w:rPr>
        <w:rStyle w:val="PageNumber"/>
      </w:rPr>
      <w:fldChar w:fldCharType="begin"/>
    </w:r>
    <w:r w:rsidRPr="00B8744F">
      <w:rPr>
        <w:rStyle w:val="PageNumber"/>
      </w:rPr>
      <w:instrText xml:space="preserve"> PAGE   \* MERGEFORMAT </w:instrText>
    </w:r>
    <w:r w:rsidRPr="00B8744F">
      <w:rPr>
        <w:rStyle w:val="PageNumber"/>
      </w:rPr>
      <w:fldChar w:fldCharType="separate"/>
    </w:r>
    <w:r w:rsidRPr="00B8744F">
      <w:rPr>
        <w:rStyle w:val="PageNumber"/>
      </w:rPr>
      <w:t>1</w:t>
    </w:r>
    <w:r w:rsidRPr="00B8744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8A9E" w14:textId="77777777" w:rsidR="00C93320" w:rsidRDefault="00C9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3FB1" w14:textId="77777777" w:rsidR="00A80C79" w:rsidRDefault="00A80C79" w:rsidP="00B8744F">
      <w:pPr>
        <w:spacing w:after="0" w:line="240" w:lineRule="auto"/>
      </w:pPr>
    </w:p>
  </w:footnote>
  <w:footnote w:type="continuationSeparator" w:id="0">
    <w:p w14:paraId="67664F8F" w14:textId="77777777" w:rsidR="00A80C79" w:rsidRDefault="00A80C79" w:rsidP="00B8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3586" w14:textId="77777777" w:rsidR="00C93320" w:rsidRDefault="00C9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0294" w14:textId="77777777" w:rsidR="00C93320" w:rsidRDefault="00C9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7190" w14:textId="77777777" w:rsidR="00C93320" w:rsidRDefault="00C9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FD15AB"/>
    <w:multiLevelType w:val="hybridMultilevel"/>
    <w:tmpl w:val="1AC091C6"/>
    <w:lvl w:ilvl="0" w:tplc="3308347E">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1049171">
    <w:abstractNumId w:val="1"/>
  </w:num>
  <w:num w:numId="2" w16cid:durableId="2134445427">
    <w:abstractNumId w:val="0"/>
  </w:num>
  <w:num w:numId="3" w16cid:durableId="1508902177">
    <w:abstractNumId w:val="3"/>
  </w:num>
  <w:num w:numId="4" w16cid:durableId="1903561915">
    <w:abstractNumId w:val="2"/>
  </w:num>
  <w:num w:numId="5" w16cid:durableId="1624071037">
    <w:abstractNumId w:val="3"/>
  </w:num>
  <w:num w:numId="6" w16cid:durableId="177886670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9"/>
    <w:rsid w:val="00007835"/>
    <w:rsid w:val="000432D1"/>
    <w:rsid w:val="00047A5F"/>
    <w:rsid w:val="000557E9"/>
    <w:rsid w:val="0005587F"/>
    <w:rsid w:val="00071E18"/>
    <w:rsid w:val="00076459"/>
    <w:rsid w:val="00082067"/>
    <w:rsid w:val="0008288F"/>
    <w:rsid w:val="000839D3"/>
    <w:rsid w:val="00097543"/>
    <w:rsid w:val="000A301B"/>
    <w:rsid w:val="000A666D"/>
    <w:rsid w:val="000B52F7"/>
    <w:rsid w:val="000D0EB1"/>
    <w:rsid w:val="000D497E"/>
    <w:rsid w:val="000F3088"/>
    <w:rsid w:val="00114579"/>
    <w:rsid w:val="001474F5"/>
    <w:rsid w:val="00155774"/>
    <w:rsid w:val="00164AFD"/>
    <w:rsid w:val="00164F1B"/>
    <w:rsid w:val="0016745E"/>
    <w:rsid w:val="001675A3"/>
    <w:rsid w:val="0018541B"/>
    <w:rsid w:val="0019449C"/>
    <w:rsid w:val="00194D25"/>
    <w:rsid w:val="001A4ABF"/>
    <w:rsid w:val="001A5A21"/>
    <w:rsid w:val="001B7065"/>
    <w:rsid w:val="001C4893"/>
    <w:rsid w:val="001C7C23"/>
    <w:rsid w:val="001D0F5C"/>
    <w:rsid w:val="001D57FC"/>
    <w:rsid w:val="001E10DA"/>
    <w:rsid w:val="00202B6C"/>
    <w:rsid w:val="00216878"/>
    <w:rsid w:val="002319CE"/>
    <w:rsid w:val="00232C1C"/>
    <w:rsid w:val="00255B47"/>
    <w:rsid w:val="00266F21"/>
    <w:rsid w:val="0028457B"/>
    <w:rsid w:val="0029649C"/>
    <w:rsid w:val="002974CE"/>
    <w:rsid w:val="002A21C2"/>
    <w:rsid w:val="002B7949"/>
    <w:rsid w:val="002C1032"/>
    <w:rsid w:val="002C513D"/>
    <w:rsid w:val="002D459D"/>
    <w:rsid w:val="002E32A1"/>
    <w:rsid w:val="002E430C"/>
    <w:rsid w:val="002F28AF"/>
    <w:rsid w:val="002F5AFB"/>
    <w:rsid w:val="00304FAB"/>
    <w:rsid w:val="00326FF4"/>
    <w:rsid w:val="00350233"/>
    <w:rsid w:val="00381C1B"/>
    <w:rsid w:val="00383ECF"/>
    <w:rsid w:val="00392DE0"/>
    <w:rsid w:val="00395876"/>
    <w:rsid w:val="003C0014"/>
    <w:rsid w:val="003C40EE"/>
    <w:rsid w:val="003E773D"/>
    <w:rsid w:val="003F1EDE"/>
    <w:rsid w:val="004160EB"/>
    <w:rsid w:val="00426790"/>
    <w:rsid w:val="00436CD3"/>
    <w:rsid w:val="004411AD"/>
    <w:rsid w:val="00443060"/>
    <w:rsid w:val="0045642F"/>
    <w:rsid w:val="0045729B"/>
    <w:rsid w:val="00482185"/>
    <w:rsid w:val="00487A5E"/>
    <w:rsid w:val="00490A46"/>
    <w:rsid w:val="004A67A0"/>
    <w:rsid w:val="004B508F"/>
    <w:rsid w:val="004C28CD"/>
    <w:rsid w:val="00512716"/>
    <w:rsid w:val="005144F7"/>
    <w:rsid w:val="0052571D"/>
    <w:rsid w:val="00534707"/>
    <w:rsid w:val="00540CA7"/>
    <w:rsid w:val="00572775"/>
    <w:rsid w:val="00596B8F"/>
    <w:rsid w:val="00597F83"/>
    <w:rsid w:val="005C797C"/>
    <w:rsid w:val="005D5E7F"/>
    <w:rsid w:val="005D74B6"/>
    <w:rsid w:val="005E001B"/>
    <w:rsid w:val="006205AC"/>
    <w:rsid w:val="00642153"/>
    <w:rsid w:val="00644869"/>
    <w:rsid w:val="00653170"/>
    <w:rsid w:val="00656C1C"/>
    <w:rsid w:val="00677DA6"/>
    <w:rsid w:val="00691DC8"/>
    <w:rsid w:val="0069430E"/>
    <w:rsid w:val="006A0DC5"/>
    <w:rsid w:val="006A5B7F"/>
    <w:rsid w:val="006A71D8"/>
    <w:rsid w:val="006E339D"/>
    <w:rsid w:val="006F2FF4"/>
    <w:rsid w:val="00710C5C"/>
    <w:rsid w:val="00715344"/>
    <w:rsid w:val="00742069"/>
    <w:rsid w:val="00772169"/>
    <w:rsid w:val="00772A9C"/>
    <w:rsid w:val="007857B5"/>
    <w:rsid w:val="007944F0"/>
    <w:rsid w:val="0079588C"/>
    <w:rsid w:val="007A5325"/>
    <w:rsid w:val="007B33E5"/>
    <w:rsid w:val="007E5FF8"/>
    <w:rsid w:val="007F3E35"/>
    <w:rsid w:val="007F6596"/>
    <w:rsid w:val="00811115"/>
    <w:rsid w:val="00831870"/>
    <w:rsid w:val="00851967"/>
    <w:rsid w:val="00883555"/>
    <w:rsid w:val="008C61B1"/>
    <w:rsid w:val="008C7846"/>
    <w:rsid w:val="008F5B75"/>
    <w:rsid w:val="00904B35"/>
    <w:rsid w:val="009444AF"/>
    <w:rsid w:val="009465F3"/>
    <w:rsid w:val="009473A1"/>
    <w:rsid w:val="00950DF6"/>
    <w:rsid w:val="009600ED"/>
    <w:rsid w:val="00960736"/>
    <w:rsid w:val="009818D5"/>
    <w:rsid w:val="009A13A5"/>
    <w:rsid w:val="009A1675"/>
    <w:rsid w:val="009A5C28"/>
    <w:rsid w:val="009B4567"/>
    <w:rsid w:val="009C3203"/>
    <w:rsid w:val="009E79DE"/>
    <w:rsid w:val="009F024C"/>
    <w:rsid w:val="00A07951"/>
    <w:rsid w:val="00A10D9A"/>
    <w:rsid w:val="00A42100"/>
    <w:rsid w:val="00A56895"/>
    <w:rsid w:val="00A80C79"/>
    <w:rsid w:val="00A93784"/>
    <w:rsid w:val="00AB438B"/>
    <w:rsid w:val="00AB7158"/>
    <w:rsid w:val="00AD1468"/>
    <w:rsid w:val="00AD1815"/>
    <w:rsid w:val="00AD235B"/>
    <w:rsid w:val="00AE4EB3"/>
    <w:rsid w:val="00AF3561"/>
    <w:rsid w:val="00B2151B"/>
    <w:rsid w:val="00B30B71"/>
    <w:rsid w:val="00B367A6"/>
    <w:rsid w:val="00B44D3E"/>
    <w:rsid w:val="00B76822"/>
    <w:rsid w:val="00B8744F"/>
    <w:rsid w:val="00B87BE3"/>
    <w:rsid w:val="00BB20B0"/>
    <w:rsid w:val="00BB3892"/>
    <w:rsid w:val="00BC4580"/>
    <w:rsid w:val="00BC4AA8"/>
    <w:rsid w:val="00BE1B9C"/>
    <w:rsid w:val="00BF376D"/>
    <w:rsid w:val="00C274A6"/>
    <w:rsid w:val="00C41A75"/>
    <w:rsid w:val="00C53A3D"/>
    <w:rsid w:val="00C57FA3"/>
    <w:rsid w:val="00C71BCF"/>
    <w:rsid w:val="00C7213C"/>
    <w:rsid w:val="00C80468"/>
    <w:rsid w:val="00C83465"/>
    <w:rsid w:val="00C84FF0"/>
    <w:rsid w:val="00C93320"/>
    <w:rsid w:val="00C940A2"/>
    <w:rsid w:val="00CA3CE1"/>
    <w:rsid w:val="00CB1FCE"/>
    <w:rsid w:val="00CB4C47"/>
    <w:rsid w:val="00CB59C2"/>
    <w:rsid w:val="00CF11CB"/>
    <w:rsid w:val="00CF69BB"/>
    <w:rsid w:val="00D06FC5"/>
    <w:rsid w:val="00D10BEA"/>
    <w:rsid w:val="00D1456A"/>
    <w:rsid w:val="00D3447C"/>
    <w:rsid w:val="00D65FFD"/>
    <w:rsid w:val="00D74CA2"/>
    <w:rsid w:val="00D91DB2"/>
    <w:rsid w:val="00DA236A"/>
    <w:rsid w:val="00DA3449"/>
    <w:rsid w:val="00DA3ADD"/>
    <w:rsid w:val="00DB4A21"/>
    <w:rsid w:val="00DD6D63"/>
    <w:rsid w:val="00DE0CF4"/>
    <w:rsid w:val="00DF139B"/>
    <w:rsid w:val="00DF2376"/>
    <w:rsid w:val="00DF4128"/>
    <w:rsid w:val="00E04420"/>
    <w:rsid w:val="00E10AA0"/>
    <w:rsid w:val="00E11A2E"/>
    <w:rsid w:val="00E465F3"/>
    <w:rsid w:val="00E66855"/>
    <w:rsid w:val="00E70DC8"/>
    <w:rsid w:val="00E75586"/>
    <w:rsid w:val="00E81AD4"/>
    <w:rsid w:val="00EB3036"/>
    <w:rsid w:val="00EC3ED3"/>
    <w:rsid w:val="00ED2169"/>
    <w:rsid w:val="00ED6E2A"/>
    <w:rsid w:val="00F05949"/>
    <w:rsid w:val="00F4028A"/>
    <w:rsid w:val="00F461EC"/>
    <w:rsid w:val="00F504D3"/>
    <w:rsid w:val="00F55208"/>
    <w:rsid w:val="00F85FD5"/>
    <w:rsid w:val="00F96344"/>
    <w:rsid w:val="00FD0C0C"/>
    <w:rsid w:val="00FE4D36"/>
    <w:rsid w:val="00FE7A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A9B1"/>
  <w15:chartTrackingRefBased/>
  <w15:docId w15:val="{77F278F2-6B45-4952-B7FD-B34864C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51"/>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pPr>
      <w:spacing w:after="0"/>
    </w:pPr>
    <w:rPr>
      <w:noProof/>
      <w:sz w:val="2"/>
      <w:szCs w:val="2"/>
    </w:rPr>
  </w:style>
  <w:style w:type="paragraph" w:styleId="Header">
    <w:name w:val="header"/>
    <w:basedOn w:val="Normal"/>
    <w:link w:val="HeaderChar"/>
    <w:uiPriority w:val="99"/>
    <w:unhideWhenUsed/>
    <w:rsid w:val="00B8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44F"/>
  </w:style>
  <w:style w:type="paragraph" w:styleId="Footer">
    <w:name w:val="footer"/>
    <w:basedOn w:val="Normal"/>
    <w:link w:val="FooterChar"/>
    <w:uiPriority w:val="99"/>
    <w:unhideWhenUsed/>
    <w:rsid w:val="00B8744F"/>
    <w:pPr>
      <w:tabs>
        <w:tab w:val="center" w:pos="4513"/>
        <w:tab w:val="right" w:pos="9026"/>
      </w:tabs>
      <w:spacing w:after="0" w:line="240" w:lineRule="auto"/>
    </w:pPr>
    <w:rPr>
      <w:noProof/>
      <w:color w:val="808285"/>
      <w:spacing w:val="4"/>
      <w:sz w:val="16"/>
      <w:szCs w:val="16"/>
    </w:rPr>
  </w:style>
  <w:style w:type="character" w:customStyle="1" w:styleId="FooterChar">
    <w:name w:val="Footer Char"/>
    <w:basedOn w:val="DefaultParagraphFont"/>
    <w:link w:val="Footer"/>
    <w:uiPriority w:val="99"/>
    <w:rsid w:val="00B8744F"/>
    <w:rPr>
      <w:noProof/>
      <w:color w:val="808285"/>
      <w:spacing w:val="4"/>
      <w:sz w:val="16"/>
      <w:szCs w:val="16"/>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pPr>
      <w:spacing w:after="0"/>
    </w:pPr>
    <w:rPr>
      <w:b/>
      <w:bCs/>
      <w:caps/>
      <w:color w:val="13B5EA" w:themeColor="accent6"/>
      <w:spacing w:val="28"/>
      <w:sz w:val="24"/>
      <w:szCs w:val="24"/>
    </w:rPr>
  </w:style>
  <w:style w:type="character" w:customStyle="1" w:styleId="SubtitleChar">
    <w:name w:val="Subtitle Char"/>
    <w:basedOn w:val="DefaultParagraphFont"/>
    <w:link w:val="Subtitle"/>
    <w:uiPriority w:val="11"/>
    <w:rsid w:val="008C61B1"/>
    <w:rPr>
      <w:b/>
      <w:bCs/>
      <w:caps/>
      <w:color w:val="13B5EA" w:themeColor="accent6"/>
      <w:spacing w:val="28"/>
      <w:sz w:val="24"/>
      <w:szCs w:val="24"/>
    </w:rPr>
  </w:style>
  <w:style w:type="paragraph" w:styleId="Title">
    <w:name w:val="Title"/>
    <w:basedOn w:val="Normal"/>
    <w:next w:val="Normal"/>
    <w:link w:val="TitleChar"/>
    <w:uiPriority w:val="10"/>
    <w:qFormat/>
    <w:rsid w:val="00DD6D63"/>
    <w:pPr>
      <w:spacing w:after="480" w:line="240" w:lineRule="auto"/>
    </w:pPr>
    <w:rPr>
      <w:color w:val="0081C6" w:themeColor="text2"/>
      <w:sz w:val="53"/>
      <w:szCs w:val="53"/>
    </w:rPr>
  </w:style>
  <w:style w:type="character" w:customStyle="1" w:styleId="TitleChar">
    <w:name w:val="Title Char"/>
    <w:basedOn w:val="DefaultParagraphFont"/>
    <w:link w:val="Title"/>
    <w:uiPriority w:val="10"/>
    <w:rsid w:val="00DD6D63"/>
    <w:rPr>
      <w:color w:val="0081C6" w:themeColor="text2"/>
      <w:sz w:val="53"/>
      <w:szCs w:val="53"/>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pPr>
      <w:spacing w:after="0" w:line="240" w:lineRule="auto"/>
    </w:pPr>
    <w:rPr>
      <w:sz w:val="16"/>
    </w:rPr>
  </w:style>
  <w:style w:type="character" w:customStyle="1" w:styleId="FootnoteTextChar">
    <w:name w:val="Footnote Text Char"/>
    <w:basedOn w:val="DefaultParagraphFont"/>
    <w:link w:val="FootnoteText"/>
    <w:uiPriority w:val="99"/>
    <w:semiHidden/>
    <w:rsid w:val="0079588C"/>
    <w:rPr>
      <w:sz w:val="16"/>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3"/>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pPr>
      <w:spacing w:after="0"/>
    </w:pPr>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Cs w:val="24"/>
    </w:rPr>
  </w:style>
  <w:style w:type="paragraph" w:styleId="ListBullet">
    <w:name w:val="List Bullet"/>
    <w:basedOn w:val="Normal"/>
    <w:uiPriority w:val="99"/>
    <w:unhideWhenUsed/>
    <w:qFormat/>
    <w:rsid w:val="00D74CA2"/>
    <w:pPr>
      <w:numPr>
        <w:numId w:val="2"/>
      </w:numPr>
      <w:ind w:left="357" w:hanging="357"/>
    </w:pPr>
  </w:style>
  <w:style w:type="character" w:styleId="CommentReference">
    <w:name w:val="annotation reference"/>
    <w:basedOn w:val="DefaultParagraphFont"/>
    <w:uiPriority w:val="99"/>
    <w:semiHidden/>
    <w:unhideWhenUsed/>
    <w:rsid w:val="00B2151B"/>
    <w:rPr>
      <w:sz w:val="16"/>
      <w:szCs w:val="16"/>
    </w:rPr>
  </w:style>
  <w:style w:type="paragraph" w:styleId="CommentText">
    <w:name w:val="annotation text"/>
    <w:basedOn w:val="Normal"/>
    <w:link w:val="CommentTextChar"/>
    <w:uiPriority w:val="99"/>
    <w:unhideWhenUsed/>
    <w:rsid w:val="00B2151B"/>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B2151B"/>
    <w:rPr>
      <w:rFonts w:ascii="Times New Roman" w:eastAsia="Times New Roman" w:hAnsi="Times New Roman" w:cs="Times New Roman"/>
      <w:lang w:eastAsia="en-GB"/>
    </w:rPr>
  </w:style>
  <w:style w:type="paragraph" w:styleId="ListParagraph">
    <w:name w:val="List Paragraph"/>
    <w:aliases w:val="Paragraph,List Paragraph (numbered (a)),Lapis Bulleted List,Dot pt,F5 List Paragraph,List Paragraph1,List Paragraph Char Char Char,Indicator Text,Numbered Para 1,Bullet 1,List Paragraph12,Bullet Points,MAIN CONTENT,List 100s,WB Para"/>
    <w:basedOn w:val="Normal"/>
    <w:link w:val="ListParagraphChar"/>
    <w:uiPriority w:val="34"/>
    <w:qFormat/>
    <w:rsid w:val="0096073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A5325"/>
    <w:rPr>
      <w:color w:val="000000" w:themeColor="followedHyperlink"/>
      <w:u w:val="single"/>
    </w:rPr>
  </w:style>
  <w:style w:type="character" w:customStyle="1" w:styleId="ListParagraphChar">
    <w:name w:val="List Paragraph Char"/>
    <w:aliases w:val="Paragraph Char,List Paragraph (numbered (a)) Char,Lapis Bulleted List Char,Dot pt Char,F5 List Paragraph Char,List Paragraph1 Char,List Paragraph Char Char Char Char,Indicator Text Char,Numbered Para 1 Char,Bullet 1 Char,WB Para Char"/>
    <w:link w:val="ListParagraph"/>
    <w:uiPriority w:val="34"/>
    <w:rsid w:val="000B52F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en/conferences/environment/stockholm19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ews.un.org/en/story/2021/10/1102582"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ep.org/resources/policy-and-strategy/framework-principles-human-rights-and-environ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en/conferences/environment/rio1992"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un.org/en/conferences/environment/rio1992"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ong\OneDrive%20-%20Australian%20Human%20Rights%20Commission\Desktop\EU-IGM\Communications%20and%20Visibility\Fact%20Sheets\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138</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 Tran</cp:lastModifiedBy>
  <cp:revision>129</cp:revision>
  <cp:lastPrinted>2022-06-03T10:26:00Z</cp:lastPrinted>
  <dcterms:created xsi:type="dcterms:W3CDTF">2022-06-02T23:49:00Z</dcterms:created>
  <dcterms:modified xsi:type="dcterms:W3CDTF">2022-06-03T10:27:00Z</dcterms:modified>
</cp:coreProperties>
</file>