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2757" w14:textId="77777777" w:rsidR="00DD6D63" w:rsidRDefault="00656C1C" w:rsidP="002F5AFB">
      <w:pPr>
        <w:pStyle w:val="Spacer-Cover"/>
      </w:pPr>
      <w:r>
        <mc:AlternateContent>
          <mc:Choice Requires="wpg">
            <w:drawing>
              <wp:anchor distT="0" distB="0" distL="114300" distR="114300" simplePos="0" relativeHeight="251665408" behindDoc="0" locked="1" layoutInCell="1" allowOverlap="1" wp14:anchorId="02D698E8" wp14:editId="7DB4B18D">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A05288" id="Graphic 12" o:spid="_x0000_s1026" style="position:absolute;margin-left:0;margin-top:0;width:193.05pt;height:179.7pt;z-index:251665408;mso-position-horizontal:left;mso-position-horizontal-relative:page;mso-position-vertical:top;mso-position-vertical-relative:page;mso-width-relative:margin;mso-height-relative:margin" coordsize="38379,3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">
                <o:lock v:ext="edit" aspectratio="t"/>
                <v:shape id="_x0000_s1027" style="position:absolute;width:38379;height:35765;visibility:visible;mso-wrap-style:square;v-text-anchor:middle" coordsize="3837908,357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" path="m3837908,l3730943,c3545205,1831372,1986343,3143250,89726,3143917v-30036,,-59944,-318,-89726,-953l,3575590v29909,699,59849,1016,89821,952c2125790,3575876,3782282,2019967,3837908,xe" fillcolor="#13b5ea [3209]" stroked="f">
                  <v:fill color2="#13b5ea [3209]" o:opacity2="19660f" rotate="t" angle="44" focus="100%" type="gradien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" path="m123920,l56388,v1524,40862,2476,81915,2476,123158c58888,333108,39180,542594,,748856,69909,504820,111490,253547,123920,xe" fillcolor="#0081c6 [3215]" stroked="f">
                  <v:fill color2="#0081c6 [3215]" o:opacity2="19660f" angle="44" focus="100%" type="gradient">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" path="m2793302,16288c2793968,1510189,1583627,2833878,89726,2834545v-30004,,-59913,-762,-89726,-1810l,3142488v29813,857,59722,1429,89726,1429c1695450,3143250,2997137,1826705,2996470,220980v,-74485,-2762,-148145,-8287,-220980l2793111,v,5429,191,10859,191,16288xe" fillcolor="#13b5ea [3209]" stroked="f">
                  <v:fill color2="#13b5ea [3209]" o:opacity2="19660f" angle="44" focus="100%" type="gradient">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64384" behindDoc="0" locked="1" layoutInCell="1" allowOverlap="1" wp14:anchorId="180C740D" wp14:editId="30CCCA80">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63360" behindDoc="1" locked="1" layoutInCell="1" allowOverlap="1" wp14:anchorId="3B8157AF" wp14:editId="6C0D9D7A">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593026CC" w14:textId="7DBC87A4" w:rsidR="00490A46" w:rsidRPr="00DD6D63" w:rsidRDefault="00710C5C" w:rsidP="008C61B1">
      <w:pPr>
        <w:pStyle w:val="Subtitle"/>
      </w:pPr>
      <w:r>
        <w:t>engaging with inter-governmental mechanisms on the right to a healthy environment and climate change</w:t>
      </w:r>
    </w:p>
    <w:p w14:paraId="32722FD5" w14:textId="75049077" w:rsidR="00027A55" w:rsidRPr="00027A55" w:rsidRDefault="00490A46" w:rsidP="00027A55">
      <w:pPr>
        <w:pStyle w:val="Title"/>
        <w:rPr>
          <w:sz w:val="52"/>
          <w:szCs w:val="52"/>
        </w:rPr>
      </w:pPr>
      <w:r w:rsidRPr="0069430E">
        <w:rPr>
          <w:sz w:val="52"/>
          <w:szCs w:val="52"/>
        </w:rPr>
        <w:t xml:space="preserve">Fact Sheet </w:t>
      </w:r>
      <w:r w:rsidR="005C215D">
        <w:rPr>
          <w:sz w:val="52"/>
          <w:szCs w:val="52"/>
        </w:rPr>
        <w:t>3</w:t>
      </w:r>
      <w:r w:rsidRPr="0069430E">
        <w:rPr>
          <w:sz w:val="52"/>
          <w:szCs w:val="52"/>
        </w:rPr>
        <w:t xml:space="preserve"> </w:t>
      </w:r>
      <w:r w:rsidR="00DD6D63" w:rsidRPr="0069430E">
        <w:rPr>
          <w:sz w:val="52"/>
          <w:szCs w:val="52"/>
        </w:rPr>
        <w:br/>
      </w:r>
      <w:r w:rsidR="00027A55" w:rsidRPr="00027A55">
        <w:rPr>
          <w:sz w:val="52"/>
          <w:szCs w:val="52"/>
        </w:rPr>
        <w:t>ASEAN and human rights</w:t>
      </w:r>
    </w:p>
    <w:p w14:paraId="6AF8B4FD" w14:textId="77777777" w:rsidR="00FE2AAC" w:rsidRDefault="000A1207" w:rsidP="000A1207">
      <w:pPr>
        <w:rPr>
          <w:rFonts w:cstheme="minorHAnsi"/>
        </w:rPr>
      </w:pPr>
      <w:r w:rsidRPr="00E53503">
        <w:rPr>
          <w:rFonts w:cstheme="minorHAnsi"/>
        </w:rPr>
        <w:t>The Association of South</w:t>
      </w:r>
      <w:r w:rsidR="003414A1">
        <w:rPr>
          <w:rFonts w:cstheme="minorHAnsi"/>
        </w:rPr>
        <w:t>e</w:t>
      </w:r>
      <w:r w:rsidRPr="00E53503">
        <w:rPr>
          <w:rFonts w:cstheme="minorHAnsi"/>
        </w:rPr>
        <w:t xml:space="preserve">ast Asian Nations (ASEAN) is an inter-governmental body with 10 member </w:t>
      </w:r>
      <w:r w:rsidR="00405737">
        <w:rPr>
          <w:rFonts w:cstheme="minorHAnsi"/>
        </w:rPr>
        <w:t>S</w:t>
      </w:r>
      <w:r w:rsidRPr="00E53503">
        <w:rPr>
          <w:rFonts w:cstheme="minorHAnsi"/>
        </w:rPr>
        <w:t>tates</w:t>
      </w:r>
      <w:r w:rsidR="007F29D5">
        <w:rPr>
          <w:rFonts w:cstheme="minorHAnsi"/>
        </w:rPr>
        <w:t>:</w:t>
      </w:r>
      <w:r w:rsidR="00B44A4D">
        <w:rPr>
          <w:rFonts w:cstheme="minorHAnsi"/>
        </w:rPr>
        <w:t xml:space="preserve"> </w:t>
      </w:r>
      <w:r w:rsidR="00B44A4D" w:rsidRPr="00AD4C6F">
        <w:rPr>
          <w:rFonts w:cstheme="minorHAnsi"/>
        </w:rPr>
        <w:t>Brunei</w:t>
      </w:r>
      <w:r w:rsidR="00B44A4D">
        <w:rPr>
          <w:rFonts w:cstheme="minorHAnsi"/>
        </w:rPr>
        <w:t xml:space="preserve">, </w:t>
      </w:r>
      <w:r w:rsidR="00B44A4D" w:rsidRPr="00AD4C6F">
        <w:rPr>
          <w:rFonts w:cstheme="minorHAnsi"/>
        </w:rPr>
        <w:t>Cambodia</w:t>
      </w:r>
      <w:r w:rsidR="00B44A4D">
        <w:rPr>
          <w:rFonts w:cstheme="minorHAnsi"/>
        </w:rPr>
        <w:t xml:space="preserve">, </w:t>
      </w:r>
      <w:r w:rsidR="00B44A4D" w:rsidRPr="00AD4C6F">
        <w:rPr>
          <w:rFonts w:cstheme="minorHAnsi"/>
        </w:rPr>
        <w:t>Indonesia</w:t>
      </w:r>
      <w:r w:rsidR="00B44A4D">
        <w:rPr>
          <w:rFonts w:cstheme="minorHAnsi"/>
        </w:rPr>
        <w:t xml:space="preserve">, </w:t>
      </w:r>
      <w:r w:rsidR="00B44A4D" w:rsidRPr="00AD4C6F">
        <w:rPr>
          <w:rFonts w:cstheme="minorHAnsi"/>
        </w:rPr>
        <w:t>Laos</w:t>
      </w:r>
      <w:r w:rsidR="00B44A4D">
        <w:rPr>
          <w:rFonts w:cstheme="minorHAnsi"/>
        </w:rPr>
        <w:t xml:space="preserve">, </w:t>
      </w:r>
      <w:r w:rsidR="00B44A4D" w:rsidRPr="00AD4C6F">
        <w:rPr>
          <w:rFonts w:cstheme="minorHAnsi"/>
        </w:rPr>
        <w:t>Malaysia</w:t>
      </w:r>
      <w:r w:rsidR="00B44A4D">
        <w:rPr>
          <w:rFonts w:cstheme="minorHAnsi"/>
        </w:rPr>
        <w:t xml:space="preserve">, </w:t>
      </w:r>
      <w:r w:rsidR="00B44A4D" w:rsidRPr="00AD4C6F">
        <w:rPr>
          <w:rFonts w:cstheme="minorHAnsi"/>
        </w:rPr>
        <w:t>Myanmar</w:t>
      </w:r>
      <w:r w:rsidR="00B44A4D">
        <w:rPr>
          <w:rFonts w:cstheme="minorHAnsi"/>
        </w:rPr>
        <w:t xml:space="preserve">, </w:t>
      </w:r>
      <w:r w:rsidR="00B44A4D" w:rsidRPr="00AD4C6F">
        <w:rPr>
          <w:rFonts w:cstheme="minorHAnsi"/>
        </w:rPr>
        <w:t>Philippines</w:t>
      </w:r>
      <w:r w:rsidR="00B44A4D">
        <w:rPr>
          <w:rFonts w:cstheme="minorHAnsi"/>
        </w:rPr>
        <w:t xml:space="preserve">, </w:t>
      </w:r>
      <w:r w:rsidR="00B44A4D" w:rsidRPr="00AD4C6F">
        <w:rPr>
          <w:rFonts w:cstheme="minorHAnsi"/>
        </w:rPr>
        <w:t>Singapore</w:t>
      </w:r>
      <w:r w:rsidR="00B44A4D">
        <w:rPr>
          <w:rFonts w:cstheme="minorHAnsi"/>
        </w:rPr>
        <w:t xml:space="preserve">, </w:t>
      </w:r>
      <w:r w:rsidR="00B44A4D" w:rsidRPr="00AD4C6F">
        <w:rPr>
          <w:rFonts w:cstheme="minorHAnsi"/>
        </w:rPr>
        <w:t>Thailand</w:t>
      </w:r>
      <w:r w:rsidR="00B44A4D">
        <w:rPr>
          <w:rFonts w:cstheme="minorHAnsi"/>
        </w:rPr>
        <w:t xml:space="preserve"> and </w:t>
      </w:r>
      <w:r w:rsidR="00B44A4D" w:rsidRPr="00AD4C6F">
        <w:rPr>
          <w:rFonts w:cstheme="minorHAnsi"/>
        </w:rPr>
        <w:t>Vietnam</w:t>
      </w:r>
      <w:r w:rsidR="00B44A4D">
        <w:rPr>
          <w:rFonts w:cstheme="minorHAnsi"/>
        </w:rPr>
        <w:t xml:space="preserve">. The ASEAN observer States include </w:t>
      </w:r>
      <w:r w:rsidR="00B44A4D" w:rsidRPr="00BC7CFA">
        <w:rPr>
          <w:rFonts w:cstheme="minorHAnsi"/>
        </w:rPr>
        <w:t>Papua New Guinea</w:t>
      </w:r>
      <w:r w:rsidR="00B44A4D">
        <w:rPr>
          <w:rFonts w:cstheme="minorHAnsi"/>
        </w:rPr>
        <w:t xml:space="preserve"> and </w:t>
      </w:r>
      <w:r w:rsidR="00B44A4D" w:rsidRPr="00BC7CFA">
        <w:rPr>
          <w:rFonts w:cstheme="minorHAnsi"/>
        </w:rPr>
        <w:t xml:space="preserve">Timor </w:t>
      </w:r>
      <w:proofErr w:type="spellStart"/>
      <w:r w:rsidR="00B44A4D" w:rsidRPr="00BC7CFA">
        <w:rPr>
          <w:rFonts w:cstheme="minorHAnsi"/>
        </w:rPr>
        <w:t>Leste</w:t>
      </w:r>
      <w:proofErr w:type="spellEnd"/>
      <w:r w:rsidR="00B44A4D">
        <w:rPr>
          <w:rFonts w:cstheme="minorHAnsi"/>
        </w:rPr>
        <w:t xml:space="preserve">. </w:t>
      </w:r>
    </w:p>
    <w:p w14:paraId="6C86CDF6" w14:textId="28CDA0C1" w:rsidR="000A1207" w:rsidRPr="00E53503" w:rsidRDefault="00FE2AAC" w:rsidP="000A1207">
      <w:pPr>
        <w:rPr>
          <w:rFonts w:cstheme="minorHAnsi"/>
        </w:rPr>
      </w:pPr>
      <w:r>
        <w:rPr>
          <w:rFonts w:cstheme="minorHAnsi"/>
        </w:rPr>
        <w:t xml:space="preserve">The ASEAN </w:t>
      </w:r>
      <w:r w:rsidR="000A1207" w:rsidRPr="00E53503">
        <w:rPr>
          <w:rFonts w:cstheme="minorHAnsi"/>
        </w:rPr>
        <w:t>was established in 1967 to strengthen political security, economic growth and social and cultural exchange for its members.</w:t>
      </w:r>
      <w:r w:rsidR="00D4609E">
        <w:rPr>
          <w:rFonts w:cstheme="minorHAnsi"/>
        </w:rPr>
        <w:t xml:space="preserve"> </w:t>
      </w:r>
      <w:r w:rsidR="000A1207" w:rsidRPr="00E53503">
        <w:rPr>
          <w:rFonts w:cstheme="minorHAnsi"/>
        </w:rPr>
        <w:t xml:space="preserve">Decisions by </w:t>
      </w:r>
      <w:r w:rsidR="00753E1E">
        <w:rPr>
          <w:rFonts w:cstheme="minorHAnsi"/>
        </w:rPr>
        <w:t xml:space="preserve">the </w:t>
      </w:r>
      <w:r w:rsidR="000A1207" w:rsidRPr="00E53503">
        <w:rPr>
          <w:rFonts w:cstheme="minorHAnsi"/>
        </w:rPr>
        <w:t xml:space="preserve">ASEAN members are made by consensus. Respect for sovereignty and non-interference in the internal affairs of one </w:t>
      </w:r>
      <w:r w:rsidR="000A1207" w:rsidRPr="00943356">
        <w:t>another</w:t>
      </w:r>
      <w:r w:rsidR="000A1207" w:rsidRPr="00E53503">
        <w:rPr>
          <w:rFonts w:cstheme="minorHAnsi"/>
        </w:rPr>
        <w:t xml:space="preserve"> are </w:t>
      </w:r>
      <w:r w:rsidR="000A1207" w:rsidRPr="00AF65B9">
        <w:t>key</w:t>
      </w:r>
      <w:r w:rsidR="000A1207" w:rsidRPr="00E53503">
        <w:rPr>
          <w:rFonts w:cstheme="minorHAnsi"/>
        </w:rPr>
        <w:t xml:space="preserve"> principles set out in the body’s founding document, the </w:t>
      </w:r>
      <w:hyperlink r:id="rId12" w:history="1">
        <w:r w:rsidR="000A1207" w:rsidRPr="00E53503">
          <w:rPr>
            <w:rStyle w:val="Hyperlink"/>
            <w:rFonts w:cstheme="minorHAnsi"/>
          </w:rPr>
          <w:t>ASEAN Declaration</w:t>
        </w:r>
      </w:hyperlink>
      <w:r w:rsidR="000A1207" w:rsidRPr="00E53503">
        <w:rPr>
          <w:rFonts w:cstheme="minorHAnsi"/>
        </w:rPr>
        <w:t xml:space="preserve">. </w:t>
      </w:r>
    </w:p>
    <w:p w14:paraId="0D35FF24" w14:textId="77777777" w:rsidR="000A1207" w:rsidRPr="00532E08" w:rsidRDefault="000A1207" w:rsidP="00532E08">
      <w:pPr>
        <w:rPr>
          <w:b/>
          <w:bCs/>
          <w:color w:val="0081C6" w:themeColor="text2"/>
          <w:sz w:val="30"/>
          <w:szCs w:val="30"/>
        </w:rPr>
      </w:pPr>
      <w:r w:rsidRPr="00532E08">
        <w:rPr>
          <w:b/>
          <w:bCs/>
          <w:color w:val="0081C6" w:themeColor="text2"/>
          <w:sz w:val="30"/>
          <w:szCs w:val="30"/>
        </w:rPr>
        <w:t>Establishing a space for human rights</w:t>
      </w:r>
    </w:p>
    <w:p w14:paraId="6B89D0C2" w14:textId="1F288021" w:rsidR="000A1207" w:rsidRPr="00E53503" w:rsidRDefault="000A1207" w:rsidP="00943356">
      <w:pPr>
        <w:pStyle w:val="ListNumberUnderline"/>
        <w:spacing w:before="0" w:after="160"/>
        <w:rPr>
          <w:rFonts w:cstheme="minorHAnsi"/>
        </w:rPr>
      </w:pPr>
      <w:r w:rsidRPr="00F97407">
        <w:rPr>
          <w:rFonts w:cstheme="minorHAnsi"/>
        </w:rPr>
        <w:t>There</w:t>
      </w:r>
      <w:r w:rsidRPr="00E53503">
        <w:rPr>
          <w:rFonts w:cstheme="minorHAnsi"/>
        </w:rPr>
        <w:t xml:space="preserve"> </w:t>
      </w:r>
      <w:r w:rsidR="009E03EE">
        <w:rPr>
          <w:rFonts w:cstheme="minorHAnsi"/>
        </w:rPr>
        <w:t>i</w:t>
      </w:r>
      <w:r w:rsidRPr="00E53503">
        <w:rPr>
          <w:rFonts w:cstheme="minorHAnsi"/>
        </w:rPr>
        <w:t xml:space="preserve">s no reference to ‘human rights’ in the ASEAN Declaration </w:t>
      </w:r>
      <w:r w:rsidR="0008781C">
        <w:rPr>
          <w:rFonts w:cstheme="minorHAnsi"/>
        </w:rPr>
        <w:t>n</w:t>
      </w:r>
      <w:r w:rsidRPr="00E53503">
        <w:rPr>
          <w:rFonts w:cstheme="minorHAnsi"/>
        </w:rPr>
        <w:t xml:space="preserve">or the </w:t>
      </w:r>
      <w:hyperlink r:id="rId13" w:history="1">
        <w:r w:rsidRPr="00E53503">
          <w:rPr>
            <w:rStyle w:val="Hyperlink"/>
            <w:rFonts w:cstheme="minorHAnsi"/>
          </w:rPr>
          <w:t>Treaty of Amity and Cooperation in Southeast Asia</w:t>
        </w:r>
      </w:hyperlink>
      <w:r w:rsidRPr="00E53503">
        <w:rPr>
          <w:rFonts w:cstheme="minorHAnsi"/>
        </w:rPr>
        <w:t>, adopted in 1976. Indeed, it was not until the 1990s that human rights were mentioned in official ASEAN documents.</w:t>
      </w:r>
    </w:p>
    <w:p w14:paraId="1139B480" w14:textId="482561C6" w:rsidR="000A1207" w:rsidRPr="00E53503" w:rsidRDefault="000A1207" w:rsidP="00F63F26">
      <w:pPr>
        <w:pStyle w:val="ListNumberUnderline"/>
        <w:spacing w:line="240" w:lineRule="auto"/>
        <w:rPr>
          <w:rFonts w:cstheme="minorHAnsi"/>
        </w:rPr>
      </w:pPr>
      <w:r w:rsidRPr="00E53503">
        <w:rPr>
          <w:rFonts w:cstheme="minorHAnsi"/>
          <w:b/>
          <w:bCs/>
        </w:rPr>
        <w:t>1993:</w:t>
      </w:r>
      <w:r w:rsidRPr="00E53503">
        <w:rPr>
          <w:rFonts w:cstheme="minorHAnsi"/>
        </w:rPr>
        <w:t xml:space="preserve"> </w:t>
      </w:r>
      <w:r w:rsidR="00753E1E">
        <w:rPr>
          <w:rFonts w:cstheme="minorHAnsi"/>
        </w:rPr>
        <w:t xml:space="preserve">The </w:t>
      </w:r>
      <w:r w:rsidRPr="00F63F26">
        <w:t>ASEAN</w:t>
      </w:r>
      <w:r w:rsidRPr="00E53503">
        <w:rPr>
          <w:rFonts w:cstheme="minorHAnsi"/>
        </w:rPr>
        <w:t xml:space="preserve"> </w:t>
      </w:r>
      <w:r w:rsidRPr="00F63F26">
        <w:t>endorses</w:t>
      </w:r>
      <w:r w:rsidRPr="00E53503">
        <w:rPr>
          <w:rFonts w:cstheme="minorHAnsi"/>
        </w:rPr>
        <w:t xml:space="preserve"> the </w:t>
      </w:r>
      <w:hyperlink r:id="rId14" w:history="1">
        <w:r w:rsidRPr="00E53503">
          <w:rPr>
            <w:rStyle w:val="Hyperlink"/>
            <w:rFonts w:cstheme="minorHAnsi"/>
          </w:rPr>
          <w:t>Vienna Declaration and Programme of Action</w:t>
        </w:r>
      </w:hyperlink>
      <w:r w:rsidRPr="00E53503">
        <w:rPr>
          <w:rFonts w:cstheme="minorHAnsi"/>
        </w:rPr>
        <w:t xml:space="preserve"> and agrees to consider </w:t>
      </w:r>
      <w:r w:rsidR="008A4DEE">
        <w:rPr>
          <w:rFonts w:cstheme="minorHAnsi"/>
        </w:rPr>
        <w:t xml:space="preserve">the </w:t>
      </w:r>
      <w:r w:rsidRPr="00E53503">
        <w:rPr>
          <w:rFonts w:cstheme="minorHAnsi"/>
        </w:rPr>
        <w:t>establishment of a regional human rights mechanism</w:t>
      </w:r>
      <w:r w:rsidR="0085773E">
        <w:rPr>
          <w:rFonts w:cstheme="minorHAnsi"/>
        </w:rPr>
        <w:t>.</w:t>
      </w:r>
    </w:p>
    <w:p w14:paraId="6DCE5EA0" w14:textId="0372CF6D" w:rsidR="000A1207" w:rsidRPr="00E53503" w:rsidRDefault="000A1207" w:rsidP="00F63F26">
      <w:pPr>
        <w:pStyle w:val="ListNumberUnderline"/>
        <w:spacing w:line="240" w:lineRule="auto"/>
        <w:rPr>
          <w:rFonts w:cstheme="minorHAnsi"/>
        </w:rPr>
      </w:pPr>
      <w:r w:rsidRPr="00E53503">
        <w:rPr>
          <w:rFonts w:cstheme="minorHAnsi"/>
          <w:b/>
          <w:bCs/>
        </w:rPr>
        <w:t>1998:</w:t>
      </w:r>
      <w:r w:rsidRPr="00E53503">
        <w:rPr>
          <w:rFonts w:cstheme="minorHAnsi"/>
        </w:rPr>
        <w:t xml:space="preserve"> </w:t>
      </w:r>
      <w:r w:rsidR="00753E1E">
        <w:rPr>
          <w:rFonts w:cstheme="minorHAnsi"/>
        </w:rPr>
        <w:t xml:space="preserve">The </w:t>
      </w:r>
      <w:r w:rsidRPr="00E53503">
        <w:rPr>
          <w:rFonts w:cstheme="minorHAnsi"/>
        </w:rPr>
        <w:t>ASEAN establishes a Working Group for an ASEAN human rights mechanism</w:t>
      </w:r>
      <w:r w:rsidR="0085773E">
        <w:rPr>
          <w:rFonts w:cstheme="minorHAnsi"/>
        </w:rPr>
        <w:t>.</w:t>
      </w:r>
    </w:p>
    <w:p w14:paraId="21110EF2" w14:textId="56F23155" w:rsidR="000A1207" w:rsidRPr="00E53503" w:rsidRDefault="000A1207" w:rsidP="00F97407">
      <w:pPr>
        <w:pStyle w:val="ListNumberUnderline"/>
        <w:spacing w:line="240" w:lineRule="auto"/>
        <w:rPr>
          <w:rFonts w:cstheme="minorHAnsi"/>
        </w:rPr>
      </w:pPr>
      <w:r w:rsidRPr="00E53503">
        <w:rPr>
          <w:rFonts w:cstheme="minorHAnsi"/>
          <w:b/>
          <w:bCs/>
        </w:rPr>
        <w:t>2004:</w:t>
      </w:r>
      <w:r w:rsidRPr="00E53503">
        <w:rPr>
          <w:rFonts w:cstheme="minorHAnsi"/>
        </w:rPr>
        <w:t xml:space="preserve"> </w:t>
      </w:r>
      <w:r w:rsidR="00753E1E">
        <w:rPr>
          <w:rFonts w:cstheme="minorHAnsi"/>
        </w:rPr>
        <w:t xml:space="preserve">The </w:t>
      </w:r>
      <w:r w:rsidRPr="00F97407">
        <w:t>ASEAN</w:t>
      </w:r>
      <w:r w:rsidRPr="00E53503">
        <w:rPr>
          <w:rFonts w:cstheme="minorHAnsi"/>
        </w:rPr>
        <w:t xml:space="preserve"> adopts the </w:t>
      </w:r>
      <w:hyperlink r:id="rId15" w:history="1">
        <w:r w:rsidRPr="00E53503">
          <w:rPr>
            <w:rStyle w:val="Hyperlink"/>
            <w:rFonts w:cstheme="minorHAnsi"/>
          </w:rPr>
          <w:t>Vientiane Action Program</w:t>
        </w:r>
      </w:hyperlink>
      <w:hyperlink r:id="rId16" w:history="1">
        <w:r w:rsidRPr="00E53503">
          <w:rPr>
            <w:rStyle w:val="Hyperlink"/>
            <w:rFonts w:cstheme="minorHAnsi"/>
          </w:rPr>
          <w:t>me</w:t>
        </w:r>
      </w:hyperlink>
      <w:r w:rsidRPr="00E53503">
        <w:rPr>
          <w:rFonts w:cstheme="minorHAnsi"/>
        </w:rPr>
        <w:t xml:space="preserve"> which sets out a concrete agenda on human rights</w:t>
      </w:r>
      <w:r w:rsidR="0085773E">
        <w:rPr>
          <w:rFonts w:cstheme="minorHAnsi"/>
        </w:rPr>
        <w:t>.</w:t>
      </w:r>
    </w:p>
    <w:p w14:paraId="26772645" w14:textId="5AF98574" w:rsidR="000A1207" w:rsidRPr="00E53503" w:rsidRDefault="000A1207" w:rsidP="00F97407">
      <w:pPr>
        <w:pStyle w:val="ListNumberUnderline"/>
        <w:spacing w:line="240" w:lineRule="auto"/>
        <w:rPr>
          <w:rFonts w:cstheme="minorHAnsi"/>
        </w:rPr>
      </w:pPr>
      <w:r w:rsidRPr="00E53503">
        <w:rPr>
          <w:rFonts w:cstheme="minorHAnsi"/>
          <w:b/>
          <w:bCs/>
        </w:rPr>
        <w:t>2008:</w:t>
      </w:r>
      <w:r w:rsidR="00753E1E">
        <w:rPr>
          <w:rFonts w:cstheme="minorHAnsi"/>
          <w:b/>
          <w:bCs/>
        </w:rPr>
        <w:t xml:space="preserve"> </w:t>
      </w:r>
      <w:r w:rsidR="00753E1E" w:rsidRPr="00753E1E">
        <w:rPr>
          <w:rFonts w:cstheme="minorHAnsi"/>
        </w:rPr>
        <w:t>The</w:t>
      </w:r>
      <w:r w:rsidRPr="00E53503">
        <w:rPr>
          <w:rFonts w:cstheme="minorHAnsi"/>
        </w:rPr>
        <w:t xml:space="preserve"> </w:t>
      </w:r>
      <w:hyperlink r:id="rId17" w:history="1">
        <w:r w:rsidRPr="00634FDB">
          <w:rPr>
            <w:rStyle w:val="Hyperlink"/>
            <w:rFonts w:cstheme="minorHAnsi"/>
          </w:rPr>
          <w:t>ASEAN Charter</w:t>
        </w:r>
      </w:hyperlink>
      <w:r w:rsidRPr="00E53503">
        <w:rPr>
          <w:rFonts w:cstheme="minorHAnsi"/>
        </w:rPr>
        <w:t xml:space="preserve"> comes into force, which includes specific provisions on human rights in its purposes and requires the establishment of a human rights body</w:t>
      </w:r>
      <w:r w:rsidR="004430E6">
        <w:rPr>
          <w:rFonts w:cstheme="minorHAnsi"/>
        </w:rPr>
        <w:t>.</w:t>
      </w:r>
    </w:p>
    <w:p w14:paraId="4403DC10" w14:textId="54CB6D82" w:rsidR="000A1207" w:rsidRPr="00E53503" w:rsidRDefault="000A1207" w:rsidP="00F97407">
      <w:pPr>
        <w:pStyle w:val="ListNumberUnderline"/>
        <w:spacing w:line="240" w:lineRule="auto"/>
        <w:rPr>
          <w:rFonts w:cstheme="minorHAnsi"/>
        </w:rPr>
      </w:pPr>
      <w:r w:rsidRPr="00E53503">
        <w:rPr>
          <w:rFonts w:cstheme="minorHAnsi"/>
          <w:b/>
          <w:bCs/>
        </w:rPr>
        <w:t>2009:</w:t>
      </w:r>
      <w:r w:rsidR="00753E1E">
        <w:rPr>
          <w:rFonts w:cstheme="minorHAnsi"/>
          <w:b/>
          <w:bCs/>
        </w:rPr>
        <w:t xml:space="preserve"> </w:t>
      </w:r>
      <w:r w:rsidR="00753E1E" w:rsidRPr="00753E1E">
        <w:rPr>
          <w:rFonts w:cstheme="minorHAnsi"/>
        </w:rPr>
        <w:t>The</w:t>
      </w:r>
      <w:r w:rsidRPr="00E53503">
        <w:rPr>
          <w:rFonts w:cstheme="minorHAnsi"/>
        </w:rPr>
        <w:t xml:space="preserve"> </w:t>
      </w:r>
      <w:hyperlink r:id="rId18" w:history="1">
        <w:r w:rsidRPr="002C3F5A">
          <w:rPr>
            <w:rStyle w:val="Hyperlink"/>
            <w:rFonts w:cstheme="minorHAnsi"/>
          </w:rPr>
          <w:t>ASEAN Intergovernmental Commission on Human Rights</w:t>
        </w:r>
      </w:hyperlink>
      <w:r w:rsidRPr="002C3F5A">
        <w:rPr>
          <w:rFonts w:cstheme="minorHAnsi"/>
        </w:rPr>
        <w:t xml:space="preserve"> (AICHR)</w:t>
      </w:r>
      <w:r w:rsidRPr="00E53503">
        <w:rPr>
          <w:rFonts w:cstheme="minorHAnsi"/>
        </w:rPr>
        <w:t xml:space="preserve"> is </w:t>
      </w:r>
      <w:r w:rsidRPr="00F97407">
        <w:t>inaugurated</w:t>
      </w:r>
      <w:r w:rsidR="004430E6">
        <w:t>.</w:t>
      </w:r>
    </w:p>
    <w:p w14:paraId="631E3816" w14:textId="7748DA6C" w:rsidR="000A1207" w:rsidRPr="00E53503" w:rsidRDefault="000A1207" w:rsidP="00F97407">
      <w:pPr>
        <w:pStyle w:val="ListNumberUnderline"/>
        <w:spacing w:line="240" w:lineRule="auto"/>
        <w:rPr>
          <w:rFonts w:cstheme="minorHAnsi"/>
        </w:rPr>
      </w:pPr>
      <w:r w:rsidRPr="00E53503">
        <w:rPr>
          <w:rFonts w:cstheme="minorHAnsi"/>
          <w:b/>
          <w:bCs/>
        </w:rPr>
        <w:t>2012:</w:t>
      </w:r>
      <w:r w:rsidR="0016280B">
        <w:rPr>
          <w:rFonts w:cstheme="minorHAnsi"/>
          <w:b/>
          <w:bCs/>
        </w:rPr>
        <w:t xml:space="preserve"> </w:t>
      </w:r>
      <w:r w:rsidR="0016280B" w:rsidRPr="0016280B">
        <w:rPr>
          <w:rFonts w:cstheme="minorHAnsi"/>
        </w:rPr>
        <w:t>The</w:t>
      </w:r>
      <w:r w:rsidRPr="00E53503">
        <w:rPr>
          <w:rFonts w:cstheme="minorHAnsi"/>
        </w:rPr>
        <w:t xml:space="preserve"> </w:t>
      </w:r>
      <w:hyperlink r:id="rId19" w:history="1">
        <w:r w:rsidRPr="00E53503">
          <w:rPr>
            <w:rStyle w:val="Hyperlink"/>
            <w:rFonts w:cstheme="minorHAnsi"/>
          </w:rPr>
          <w:t>ASEAN Human Rights Declaration</w:t>
        </w:r>
      </w:hyperlink>
      <w:r w:rsidRPr="00E53503">
        <w:rPr>
          <w:rFonts w:cstheme="minorHAnsi"/>
        </w:rPr>
        <w:t xml:space="preserve"> is adopted, providing a framework for human rights cooperation among member </w:t>
      </w:r>
      <w:r w:rsidR="003A28F6">
        <w:rPr>
          <w:rFonts w:cstheme="minorHAnsi"/>
        </w:rPr>
        <w:t>S</w:t>
      </w:r>
      <w:r w:rsidRPr="00E53503">
        <w:rPr>
          <w:rFonts w:cstheme="minorHAnsi"/>
        </w:rPr>
        <w:t>tates</w:t>
      </w:r>
      <w:r w:rsidR="003A28F6">
        <w:rPr>
          <w:rFonts w:cstheme="minorHAnsi"/>
        </w:rPr>
        <w:t>.</w:t>
      </w:r>
    </w:p>
    <w:p w14:paraId="4500C7D8" w14:textId="6DA4B5A9" w:rsidR="000A1207" w:rsidRPr="00494BE5" w:rsidRDefault="00494BE5" w:rsidP="00494BE5">
      <w:pPr>
        <w:rPr>
          <w:b/>
          <w:bCs/>
          <w:color w:val="0081C6" w:themeColor="text2"/>
          <w:sz w:val="30"/>
          <w:szCs w:val="30"/>
        </w:rPr>
      </w:pPr>
      <w:r>
        <w:rPr>
          <w:b/>
          <w:bCs/>
          <w:color w:val="0081C6" w:themeColor="text2"/>
          <w:sz w:val="30"/>
          <w:szCs w:val="30"/>
        </w:rPr>
        <w:lastRenderedPageBreak/>
        <w:t xml:space="preserve">The </w:t>
      </w:r>
      <w:r w:rsidR="000A1207" w:rsidRPr="00494BE5">
        <w:rPr>
          <w:b/>
          <w:bCs/>
          <w:color w:val="0081C6" w:themeColor="text2"/>
          <w:sz w:val="30"/>
          <w:szCs w:val="30"/>
        </w:rPr>
        <w:t>ASEAN human rights bodies</w:t>
      </w:r>
    </w:p>
    <w:p w14:paraId="6C31CA4A" w14:textId="189BBEA0" w:rsidR="000A1207" w:rsidRPr="00E53503" w:rsidRDefault="000A1207" w:rsidP="00B40293">
      <w:pPr>
        <w:rPr>
          <w:rFonts w:cstheme="minorHAnsi"/>
        </w:rPr>
      </w:pPr>
      <w:r w:rsidRPr="00E53503">
        <w:rPr>
          <w:rFonts w:cstheme="minorHAnsi"/>
        </w:rPr>
        <w:t xml:space="preserve">Following years of discussion and debate, the </w:t>
      </w:r>
      <w:hyperlink r:id="rId20" w:history="1">
        <w:r w:rsidRPr="00E53503">
          <w:rPr>
            <w:rStyle w:val="Hyperlink"/>
            <w:rFonts w:cstheme="minorHAnsi"/>
          </w:rPr>
          <w:t>ASEAN Intergovernmental Commission on Human Rights</w:t>
        </w:r>
      </w:hyperlink>
      <w:r w:rsidRPr="00E53503">
        <w:rPr>
          <w:rFonts w:cstheme="minorHAnsi"/>
        </w:rPr>
        <w:t xml:space="preserve"> (AICHR) was established in 2009 with the adoption of the </w:t>
      </w:r>
      <w:hyperlink r:id="rId21" w:history="1">
        <w:r w:rsidRPr="00E53503">
          <w:rPr>
            <w:rStyle w:val="Hyperlink"/>
            <w:rFonts w:cstheme="minorHAnsi"/>
          </w:rPr>
          <w:t xml:space="preserve">Cha-Am Hua </w:t>
        </w:r>
        <w:proofErr w:type="spellStart"/>
        <w:r w:rsidRPr="00E53503">
          <w:rPr>
            <w:rStyle w:val="Hyperlink"/>
            <w:rFonts w:cstheme="minorHAnsi"/>
          </w:rPr>
          <w:t>Hin</w:t>
        </w:r>
        <w:proofErr w:type="spellEnd"/>
        <w:r w:rsidRPr="00E53503">
          <w:rPr>
            <w:rStyle w:val="Hyperlink"/>
            <w:rFonts w:cstheme="minorHAnsi"/>
          </w:rPr>
          <w:t xml:space="preserve"> Declaration on the Intergovernmental Commission on Human Rights</w:t>
        </w:r>
      </w:hyperlink>
      <w:r w:rsidRPr="00E53503">
        <w:rPr>
          <w:rFonts w:cstheme="minorHAnsi"/>
        </w:rPr>
        <w:t xml:space="preserve">. The body comprises a representative appointed by each ASEAN member </w:t>
      </w:r>
      <w:r w:rsidR="00B40293">
        <w:rPr>
          <w:rFonts w:cstheme="minorHAnsi"/>
        </w:rPr>
        <w:t>S</w:t>
      </w:r>
      <w:r w:rsidRPr="00E53503">
        <w:rPr>
          <w:rFonts w:cstheme="minorHAnsi"/>
        </w:rPr>
        <w:t>tate.</w:t>
      </w:r>
    </w:p>
    <w:p w14:paraId="4D2A6514" w14:textId="7763E6E9" w:rsidR="000A1207" w:rsidRPr="00E53503" w:rsidRDefault="00B40293" w:rsidP="00B40293">
      <w:pPr>
        <w:rPr>
          <w:rFonts w:cstheme="minorHAnsi"/>
        </w:rPr>
      </w:pPr>
      <w:r>
        <w:rPr>
          <w:rFonts w:cstheme="minorHAnsi"/>
        </w:rPr>
        <w:t xml:space="preserve">The </w:t>
      </w:r>
      <w:r w:rsidR="000A1207" w:rsidRPr="00E53503">
        <w:rPr>
          <w:rFonts w:cstheme="minorHAnsi"/>
        </w:rPr>
        <w:t>ASEAN has also established two specialised human rights bodies:</w:t>
      </w:r>
    </w:p>
    <w:p w14:paraId="6E749531" w14:textId="48128A16" w:rsidR="000A1207" w:rsidRPr="00E53503" w:rsidRDefault="00875DEC" w:rsidP="00542B32">
      <w:pPr>
        <w:pStyle w:val="ListBullet"/>
        <w:numPr>
          <w:ilvl w:val="0"/>
          <w:numId w:val="5"/>
        </w:numPr>
        <w:tabs>
          <w:tab w:val="num" w:pos="360"/>
        </w:tabs>
        <w:ind w:left="357" w:hanging="357"/>
        <w:rPr>
          <w:rFonts w:cstheme="minorHAnsi"/>
        </w:rPr>
      </w:pPr>
      <w:r>
        <w:rPr>
          <w:rFonts w:cstheme="minorHAnsi"/>
        </w:rPr>
        <w:t xml:space="preserve">The </w:t>
      </w:r>
      <w:hyperlink r:id="rId22" w:history="1">
        <w:r w:rsidR="000A1207" w:rsidRPr="00F2376E">
          <w:rPr>
            <w:rStyle w:val="Hyperlink"/>
            <w:rFonts w:cstheme="minorHAnsi"/>
            <w:b/>
            <w:bCs/>
          </w:rPr>
          <w:t>ASEAN Commission on the Promotion and the Protection of the Rights of Women and Children</w:t>
        </w:r>
      </w:hyperlink>
      <w:r w:rsidR="000A1207" w:rsidRPr="00E53503">
        <w:rPr>
          <w:rFonts w:cstheme="minorHAnsi"/>
        </w:rPr>
        <w:t xml:space="preserve"> (2010)</w:t>
      </w:r>
    </w:p>
    <w:p w14:paraId="098C6C58" w14:textId="2FA860F0" w:rsidR="000A1207" w:rsidRDefault="00DA03A5" w:rsidP="00542B32">
      <w:pPr>
        <w:pStyle w:val="ListBullet"/>
        <w:numPr>
          <w:ilvl w:val="0"/>
          <w:numId w:val="5"/>
        </w:numPr>
        <w:tabs>
          <w:tab w:val="num" w:pos="360"/>
        </w:tabs>
        <w:ind w:left="357" w:hanging="357"/>
        <w:rPr>
          <w:rFonts w:cstheme="minorHAnsi"/>
        </w:rPr>
      </w:pPr>
      <w:r>
        <w:rPr>
          <w:rFonts w:cstheme="minorHAnsi"/>
        </w:rPr>
        <w:t xml:space="preserve">The </w:t>
      </w:r>
      <w:hyperlink r:id="rId23" w:history="1">
        <w:r w:rsidR="000A1207" w:rsidRPr="00F2376E">
          <w:rPr>
            <w:rStyle w:val="Hyperlink"/>
            <w:rFonts w:cstheme="minorHAnsi"/>
            <w:b/>
            <w:bCs/>
          </w:rPr>
          <w:t>ASEAN Committee to Implement the Declaration on the Protection and Promotion of the Rights of Migrant Workers</w:t>
        </w:r>
      </w:hyperlink>
      <w:r w:rsidR="000A1207" w:rsidRPr="00E53503">
        <w:rPr>
          <w:rFonts w:cstheme="minorHAnsi"/>
        </w:rPr>
        <w:t xml:space="preserve"> (2008)</w:t>
      </w:r>
    </w:p>
    <w:p w14:paraId="13B4B6E0" w14:textId="77777777" w:rsidR="00583B81" w:rsidRPr="00216742" w:rsidRDefault="00583B81" w:rsidP="00583B81">
      <w:pPr>
        <w:pStyle w:val="Quote"/>
        <w:contextualSpacing/>
        <w:rPr>
          <w:rFonts w:cstheme="minorHAnsi"/>
        </w:rPr>
      </w:pPr>
      <w:r w:rsidRPr="00216742">
        <w:rPr>
          <w:rFonts w:cstheme="minorHAnsi"/>
        </w:rPr>
        <w:t xml:space="preserve">“ASEAN is not a human rights organisation, but since the inclusion of human rights, ASEAN has a space, a regional space, to talk about human rights. </w:t>
      </w:r>
    </w:p>
    <w:p w14:paraId="16D870CA" w14:textId="77777777" w:rsidR="00583B81" w:rsidRPr="00216742" w:rsidRDefault="00583B81" w:rsidP="00583B81">
      <w:pPr>
        <w:pStyle w:val="Quote"/>
        <w:contextualSpacing/>
        <w:rPr>
          <w:rFonts w:cstheme="minorHAnsi"/>
          <w:i w:val="0"/>
          <w:iCs w:val="0"/>
        </w:rPr>
      </w:pPr>
      <w:r w:rsidRPr="00216742">
        <w:rPr>
          <w:rFonts w:cstheme="minorHAnsi"/>
          <w:i w:val="0"/>
          <w:iCs w:val="0"/>
        </w:rPr>
        <w:t>H.E. Yuyun Wahyuningrum, Indonesia Representative to AICHR (2019 – current)</w:t>
      </w:r>
    </w:p>
    <w:p w14:paraId="403F05D2" w14:textId="415A97D2" w:rsidR="000A1207" w:rsidRPr="00C77D22" w:rsidRDefault="00F10B9E" w:rsidP="00C77D22">
      <w:pPr>
        <w:rPr>
          <w:b/>
          <w:bCs/>
          <w:color w:val="0081C6" w:themeColor="text2"/>
          <w:sz w:val="30"/>
          <w:szCs w:val="30"/>
        </w:rPr>
      </w:pPr>
      <w:r>
        <w:rPr>
          <w:b/>
          <w:bCs/>
          <w:color w:val="0081C6" w:themeColor="text2"/>
          <w:sz w:val="30"/>
          <w:szCs w:val="30"/>
        </w:rPr>
        <w:t xml:space="preserve">The </w:t>
      </w:r>
      <w:r w:rsidR="000A1207" w:rsidRPr="00C77D22">
        <w:rPr>
          <w:b/>
          <w:bCs/>
          <w:color w:val="0081C6" w:themeColor="text2"/>
          <w:sz w:val="30"/>
          <w:szCs w:val="30"/>
        </w:rPr>
        <w:t>AICHR’s role and mandate</w:t>
      </w:r>
    </w:p>
    <w:p w14:paraId="4D85CB30" w14:textId="7A3C23B2" w:rsidR="000848AE" w:rsidRDefault="000A1207" w:rsidP="000848AE">
      <w:pPr>
        <w:rPr>
          <w:rFonts w:cstheme="minorHAnsi"/>
        </w:rPr>
      </w:pPr>
      <w:r w:rsidRPr="000848AE">
        <w:rPr>
          <w:rFonts w:cstheme="minorHAnsi"/>
        </w:rPr>
        <w:t xml:space="preserve">While </w:t>
      </w:r>
      <w:r w:rsidR="00DA03A5">
        <w:rPr>
          <w:rFonts w:cstheme="minorHAnsi"/>
        </w:rPr>
        <w:t xml:space="preserve">the </w:t>
      </w:r>
      <w:r w:rsidRPr="000848AE">
        <w:rPr>
          <w:rFonts w:cstheme="minorHAnsi"/>
        </w:rPr>
        <w:t xml:space="preserve">AICHR’s purpose is to “promote and protect human rights” in </w:t>
      </w:r>
      <w:r w:rsidR="00FD7AE6">
        <w:rPr>
          <w:rFonts w:cstheme="minorHAnsi"/>
        </w:rPr>
        <w:t xml:space="preserve">the </w:t>
      </w:r>
      <w:r w:rsidRPr="000848AE">
        <w:rPr>
          <w:rFonts w:cstheme="minorHAnsi"/>
        </w:rPr>
        <w:t xml:space="preserve">ASEAN member </w:t>
      </w:r>
      <w:r w:rsidR="00FD7AE6">
        <w:rPr>
          <w:rFonts w:cstheme="minorHAnsi"/>
        </w:rPr>
        <w:t>S</w:t>
      </w:r>
      <w:r w:rsidRPr="000848AE">
        <w:rPr>
          <w:rFonts w:cstheme="minorHAnsi"/>
        </w:rPr>
        <w:t xml:space="preserve">tates, the body does not have a strong protection mandate. Its </w:t>
      </w:r>
      <w:hyperlink r:id="rId24" w:history="1">
        <w:r w:rsidRPr="00BA43EC">
          <w:rPr>
            <w:rFonts w:cstheme="minorHAnsi"/>
          </w:rPr>
          <w:t>Terms of Reference</w:t>
        </w:r>
      </w:hyperlink>
      <w:r w:rsidRPr="000848AE">
        <w:rPr>
          <w:rFonts w:cstheme="minorHAnsi"/>
        </w:rPr>
        <w:t xml:space="preserve"> (TOR) do not explicitly provide for a mechanism to receive or investigate human rights violations </w:t>
      </w:r>
      <w:r w:rsidR="00EE2EB1">
        <w:rPr>
          <w:rFonts w:cstheme="minorHAnsi"/>
        </w:rPr>
        <w:t>nor</w:t>
      </w:r>
      <w:r w:rsidRPr="000848AE">
        <w:rPr>
          <w:rFonts w:cstheme="minorHAnsi"/>
        </w:rPr>
        <w:t xml:space="preserve"> issue findings and recommendations. </w:t>
      </w:r>
    </w:p>
    <w:p w14:paraId="77B49AD6" w14:textId="77777777" w:rsidR="006C2EA4" w:rsidRDefault="000A1207" w:rsidP="000848AE">
      <w:pPr>
        <w:rPr>
          <w:rFonts w:cstheme="minorHAnsi"/>
        </w:rPr>
      </w:pPr>
      <w:r w:rsidRPr="00D867DF">
        <w:rPr>
          <w:rFonts w:cstheme="minorHAnsi"/>
        </w:rPr>
        <w:t xml:space="preserve">Accordingly, </w:t>
      </w:r>
      <w:r w:rsidR="00F144A4">
        <w:rPr>
          <w:rFonts w:cstheme="minorHAnsi"/>
        </w:rPr>
        <w:t xml:space="preserve">the </w:t>
      </w:r>
      <w:r w:rsidRPr="00D867DF">
        <w:rPr>
          <w:rFonts w:cstheme="minorHAnsi"/>
        </w:rPr>
        <w:t xml:space="preserve">AICHR’s work has focused almost exclusively on human rights promotion activities, which includes providing advisory services and technical assistance; obtaining information from States on the promotion and protection of human rights; developing common approaches; preparing thematic studies and reporting on human rights. </w:t>
      </w:r>
    </w:p>
    <w:p w14:paraId="2550F33A" w14:textId="46925ADD" w:rsidR="000A1207" w:rsidRPr="000848AE" w:rsidRDefault="000A1207" w:rsidP="000848AE">
      <w:pPr>
        <w:rPr>
          <w:rFonts w:cstheme="minorHAnsi"/>
        </w:rPr>
      </w:pPr>
      <w:r w:rsidRPr="00D867DF">
        <w:rPr>
          <w:rFonts w:cstheme="minorHAnsi"/>
        </w:rPr>
        <w:t xml:space="preserve">It is required to inform the public of its work and consult with other national, regional and international institutions and bodies concerned with the promotion and protection of human rights. </w:t>
      </w:r>
    </w:p>
    <w:p w14:paraId="00CB10F3" w14:textId="5765A2A7" w:rsidR="000A1207" w:rsidRPr="00D867DF" w:rsidRDefault="006C2EA4" w:rsidP="00C77D22">
      <w:pPr>
        <w:rPr>
          <w:rFonts w:cstheme="minorHAnsi"/>
        </w:rPr>
      </w:pPr>
      <w:r>
        <w:rPr>
          <w:rFonts w:cstheme="minorHAnsi"/>
        </w:rPr>
        <w:t xml:space="preserve">The </w:t>
      </w:r>
      <w:r w:rsidR="000A1207" w:rsidRPr="00D867DF">
        <w:rPr>
          <w:rFonts w:cstheme="minorHAnsi"/>
        </w:rPr>
        <w:t xml:space="preserve">AICHR convenes two regular meetings per year, with additional meetings held as required. It must also submit an annual report to the ASEAN Foreign Ministers Meeting. Like </w:t>
      </w:r>
      <w:r w:rsidR="002A1143">
        <w:rPr>
          <w:rFonts w:cstheme="minorHAnsi"/>
        </w:rPr>
        <w:t xml:space="preserve">the </w:t>
      </w:r>
      <w:r w:rsidR="0023576D" w:rsidRPr="00D867DF">
        <w:rPr>
          <w:rFonts w:cstheme="minorHAnsi"/>
        </w:rPr>
        <w:t>ASEAN, the</w:t>
      </w:r>
      <w:r w:rsidR="006E11E2">
        <w:rPr>
          <w:rFonts w:cstheme="minorHAnsi"/>
        </w:rPr>
        <w:t xml:space="preserve"> </w:t>
      </w:r>
      <w:r w:rsidR="000A1207" w:rsidRPr="00D867DF">
        <w:rPr>
          <w:rFonts w:cstheme="minorHAnsi"/>
        </w:rPr>
        <w:t xml:space="preserve">AICHR’s work is guided by the principles of respect for sovereignty and non-interference, with decision-making based on consultation and consensus. </w:t>
      </w:r>
    </w:p>
    <w:p w14:paraId="1377ED0C" w14:textId="77777777" w:rsidR="0065313A" w:rsidRDefault="0065313A">
      <w:pPr>
        <w:rPr>
          <w:b/>
          <w:bCs/>
          <w:color w:val="0081C6" w:themeColor="text2"/>
          <w:sz w:val="30"/>
          <w:szCs w:val="30"/>
        </w:rPr>
      </w:pPr>
      <w:r>
        <w:rPr>
          <w:b/>
          <w:bCs/>
          <w:color w:val="0081C6" w:themeColor="text2"/>
          <w:sz w:val="30"/>
          <w:szCs w:val="30"/>
        </w:rPr>
        <w:br w:type="page"/>
      </w:r>
    </w:p>
    <w:p w14:paraId="645995B2" w14:textId="7B916260" w:rsidR="00C77D22" w:rsidRPr="008C6813" w:rsidRDefault="00C77D22" w:rsidP="008C6813">
      <w:pPr>
        <w:rPr>
          <w:b/>
          <w:bCs/>
          <w:color w:val="0081C6" w:themeColor="text2"/>
          <w:sz w:val="30"/>
          <w:szCs w:val="30"/>
        </w:rPr>
      </w:pPr>
      <w:r w:rsidRPr="008C6813">
        <w:rPr>
          <w:b/>
          <w:bCs/>
          <w:color w:val="0081C6" w:themeColor="text2"/>
          <w:sz w:val="30"/>
          <w:szCs w:val="30"/>
        </w:rPr>
        <w:lastRenderedPageBreak/>
        <w:t>Broadening the AICHR’s work and impact</w:t>
      </w:r>
    </w:p>
    <w:p w14:paraId="484E0F7D" w14:textId="17AD1E58" w:rsidR="008955DF" w:rsidRPr="00852F52" w:rsidRDefault="008955DF" w:rsidP="00852F52">
      <w:pPr>
        <w:pStyle w:val="ListNumberUnderline"/>
      </w:pPr>
      <w:r w:rsidRPr="00852F52">
        <w:t xml:space="preserve">In 2019, </w:t>
      </w:r>
      <w:r w:rsidR="00914EA7" w:rsidRPr="00852F52">
        <w:t xml:space="preserve">the </w:t>
      </w:r>
      <w:r w:rsidRPr="00852F52">
        <w:t xml:space="preserve">AICHR agreed to adopt measures to handle letters of complaints, where they would be received by the ASEAN </w:t>
      </w:r>
      <w:r w:rsidRPr="00103D81">
        <w:t>Secretariat</w:t>
      </w:r>
      <w:r w:rsidRPr="00852F52">
        <w:t xml:space="preserve">, tabled at AICHR meetings and forwarded to the concerned AICHR country representative for review. </w:t>
      </w:r>
    </w:p>
    <w:p w14:paraId="4A39B81D" w14:textId="3F84191B" w:rsidR="008955DF" w:rsidRPr="00F10B9E" w:rsidRDefault="008955DF" w:rsidP="00852F52">
      <w:pPr>
        <w:pStyle w:val="ListNumberUnderline"/>
      </w:pPr>
      <w:r w:rsidRPr="00F10B9E">
        <w:t xml:space="preserve">The work of </w:t>
      </w:r>
      <w:r w:rsidR="00914EA7">
        <w:t xml:space="preserve">the </w:t>
      </w:r>
      <w:r w:rsidRPr="00F10B9E">
        <w:t>AICHR has also evolved through its Five-</w:t>
      </w:r>
      <w:r w:rsidRPr="00852F52">
        <w:t>Year</w:t>
      </w:r>
      <w:r w:rsidRPr="00F10B9E">
        <w:t xml:space="preserve"> Work Plan. The 2021-2025 Work Plan includes plans for </w:t>
      </w:r>
      <w:r w:rsidR="00454034">
        <w:t xml:space="preserve">the </w:t>
      </w:r>
      <w:r w:rsidRPr="00F10B9E">
        <w:t xml:space="preserve">AICHR to conduct country visits, develop a grievance mechanism and referral system, initiate an ASEAN human rights index, and manage correspondence and complaints. </w:t>
      </w:r>
    </w:p>
    <w:p w14:paraId="3BA61186" w14:textId="77777777" w:rsidR="00857DE6" w:rsidRPr="0075225F" w:rsidRDefault="00857DE6" w:rsidP="008767BC">
      <w:pPr>
        <w:rPr>
          <w:rFonts w:cstheme="minorHAnsi"/>
        </w:rPr>
      </w:pPr>
    </w:p>
    <w:p w14:paraId="426EE130" w14:textId="15F6E46E" w:rsidR="000A1207" w:rsidRPr="008767BC" w:rsidRDefault="000A1207" w:rsidP="008767BC">
      <w:pPr>
        <w:rPr>
          <w:b/>
          <w:bCs/>
          <w:color w:val="0081C6" w:themeColor="text2"/>
          <w:sz w:val="30"/>
          <w:szCs w:val="30"/>
        </w:rPr>
      </w:pPr>
      <w:r w:rsidRPr="008767BC">
        <w:rPr>
          <w:b/>
          <w:bCs/>
          <w:color w:val="0081C6" w:themeColor="text2"/>
          <w:sz w:val="30"/>
          <w:szCs w:val="30"/>
        </w:rPr>
        <w:t>Engaging with national human rights institutions</w:t>
      </w:r>
    </w:p>
    <w:p w14:paraId="74EA7D09" w14:textId="2951BB13" w:rsidR="000A1207" w:rsidRPr="003F6D8C" w:rsidRDefault="000A1207" w:rsidP="003F6D8C">
      <w:pPr>
        <w:rPr>
          <w:rFonts w:cstheme="minorHAnsi"/>
        </w:rPr>
      </w:pPr>
      <w:r w:rsidRPr="003F6D8C">
        <w:rPr>
          <w:rFonts w:cstheme="minorHAnsi"/>
        </w:rPr>
        <w:t xml:space="preserve">Prior to 2009, national human rights institutions (NHRIs) in South-East Asia advocated consistently for an ASEAN human rights body. Since its establishment, NHRIs in the ASEAN region have sought to develop a collaborative relationship with </w:t>
      </w:r>
      <w:r w:rsidR="00A6414D">
        <w:rPr>
          <w:rFonts w:cstheme="minorHAnsi"/>
        </w:rPr>
        <w:t xml:space="preserve">the </w:t>
      </w:r>
      <w:r w:rsidRPr="003F6D8C">
        <w:rPr>
          <w:rFonts w:cstheme="minorHAnsi"/>
        </w:rPr>
        <w:t xml:space="preserve">AICHR and its representatives by organising and participating in activities. </w:t>
      </w:r>
    </w:p>
    <w:p w14:paraId="4FB97517" w14:textId="3D4F25C6" w:rsidR="000A1207" w:rsidRPr="003F6D8C" w:rsidRDefault="000A1207" w:rsidP="003F6D8C">
      <w:pPr>
        <w:rPr>
          <w:rFonts w:cstheme="minorHAnsi"/>
        </w:rPr>
      </w:pPr>
      <w:r w:rsidRPr="003F6D8C">
        <w:rPr>
          <w:rFonts w:cstheme="minorHAnsi"/>
        </w:rPr>
        <w:t xml:space="preserve">NHRI engagement with </w:t>
      </w:r>
      <w:r w:rsidR="00582EDC">
        <w:rPr>
          <w:rFonts w:cstheme="minorHAnsi"/>
        </w:rPr>
        <w:t xml:space="preserve">the </w:t>
      </w:r>
      <w:r w:rsidRPr="003F6D8C">
        <w:rPr>
          <w:rFonts w:cstheme="minorHAnsi"/>
        </w:rPr>
        <w:t xml:space="preserve">AICHR </w:t>
      </w:r>
      <w:r w:rsidR="00011324">
        <w:rPr>
          <w:rFonts w:cstheme="minorHAnsi"/>
        </w:rPr>
        <w:t>has seen</w:t>
      </w:r>
      <w:r w:rsidRPr="003F6D8C">
        <w:rPr>
          <w:rFonts w:cstheme="minorHAnsi"/>
        </w:rPr>
        <w:t xml:space="preserve"> positive developments in recent years. In November 2020, in a milestone event, the </w:t>
      </w:r>
      <w:hyperlink r:id="rId25" w:history="1">
        <w:r w:rsidRPr="003F6D8C">
          <w:rPr>
            <w:rStyle w:val="Hyperlink"/>
            <w:rFonts w:cstheme="minorHAnsi"/>
          </w:rPr>
          <w:t>Southeast Asia National Human Rights Institutions</w:t>
        </w:r>
      </w:hyperlink>
      <w:r w:rsidRPr="003F6D8C">
        <w:rPr>
          <w:rFonts w:cstheme="minorHAnsi"/>
        </w:rPr>
        <w:t xml:space="preserve"> (SEANF) participated in the 31st AICHR Meeting. This was followed by the SEANF’s attendance at </w:t>
      </w:r>
      <w:r w:rsidR="00CF7D9F">
        <w:rPr>
          <w:rFonts w:cstheme="minorHAnsi"/>
        </w:rPr>
        <w:t xml:space="preserve">the </w:t>
      </w:r>
      <w:r w:rsidRPr="003F6D8C">
        <w:rPr>
          <w:rFonts w:cstheme="minorHAnsi"/>
        </w:rPr>
        <w:t>AICHR’s Special Meeting in November 2021, where they discussed future cooperation in areas of mutual interests</w:t>
      </w:r>
      <w:r w:rsidR="00CF7D9F">
        <w:rPr>
          <w:rFonts w:cstheme="minorHAnsi"/>
        </w:rPr>
        <w:t>.</w:t>
      </w:r>
    </w:p>
    <w:p w14:paraId="6200F3C5" w14:textId="57614F11" w:rsidR="00294CFD" w:rsidRPr="00AA51AB" w:rsidRDefault="004B0D63" w:rsidP="00AA51AB">
      <w:pPr>
        <w:rPr>
          <w:rFonts w:cstheme="minorHAnsi"/>
        </w:rPr>
      </w:pPr>
      <w:r w:rsidRPr="00AA51AB">
        <w:rPr>
          <w:rFonts w:cstheme="minorHAnsi"/>
        </w:rPr>
        <w:t>The p</w:t>
      </w:r>
      <w:r w:rsidR="00294CFD" w:rsidRPr="00AA51AB">
        <w:rPr>
          <w:rFonts w:cstheme="minorHAnsi"/>
        </w:rPr>
        <w:t xml:space="preserve">riorities in </w:t>
      </w:r>
      <w:r w:rsidR="00D65D9A" w:rsidRPr="00AA51AB">
        <w:rPr>
          <w:rFonts w:cstheme="minorHAnsi"/>
        </w:rPr>
        <w:t xml:space="preserve">the </w:t>
      </w:r>
      <w:r w:rsidR="00294CFD" w:rsidRPr="00AA51AB">
        <w:rPr>
          <w:rFonts w:cstheme="minorHAnsi"/>
        </w:rPr>
        <w:t>AICHR’s 2021-2025 Work Plan include:</w:t>
      </w:r>
    </w:p>
    <w:p w14:paraId="5994B730" w14:textId="4C9C546D" w:rsidR="00294CFD" w:rsidRPr="00F72D59" w:rsidRDefault="00294CFD" w:rsidP="00AD5DCD">
      <w:pPr>
        <w:pStyle w:val="ListNumberUnderline"/>
        <w:numPr>
          <w:ilvl w:val="0"/>
          <w:numId w:val="27"/>
        </w:numPr>
        <w:ind w:left="426"/>
      </w:pPr>
      <w:r w:rsidRPr="00F72D59">
        <w:t>Improving cooperation with national, regional and international institutions concerned with the promotion and protection of human rights</w:t>
      </w:r>
      <w:r w:rsidR="00171872">
        <w:t>.</w:t>
      </w:r>
    </w:p>
    <w:p w14:paraId="3944987C" w14:textId="77777777" w:rsidR="00294CFD" w:rsidRPr="00F72D59" w:rsidRDefault="00294CFD" w:rsidP="00AD5DCD">
      <w:pPr>
        <w:pStyle w:val="ListNumberUnderline"/>
        <w:numPr>
          <w:ilvl w:val="0"/>
          <w:numId w:val="27"/>
        </w:numPr>
        <w:ind w:left="426"/>
      </w:pPr>
      <w:r w:rsidRPr="00F72D59">
        <w:t>Promoting cooperation with ASEAN sectoral bodies, other human rights mechanisms and national implementing agencies/bodies to share best practices on the implementation of international human rights treaties.</w:t>
      </w:r>
    </w:p>
    <w:p w14:paraId="75A8F9E7" w14:textId="77777777" w:rsidR="003F6D8C" w:rsidRDefault="003F6D8C" w:rsidP="00294CFD"/>
    <w:p w14:paraId="727C2287" w14:textId="77777777" w:rsidR="0065313A" w:rsidRDefault="0065313A">
      <w:pPr>
        <w:rPr>
          <w:b/>
          <w:bCs/>
          <w:color w:val="0081C6" w:themeColor="text2"/>
          <w:sz w:val="30"/>
          <w:szCs w:val="30"/>
        </w:rPr>
      </w:pPr>
      <w:r>
        <w:rPr>
          <w:b/>
          <w:bCs/>
          <w:color w:val="0081C6" w:themeColor="text2"/>
          <w:sz w:val="30"/>
          <w:szCs w:val="30"/>
        </w:rPr>
        <w:br w:type="page"/>
      </w:r>
    </w:p>
    <w:p w14:paraId="3A4B1003" w14:textId="2EAE5EEB" w:rsidR="000A1207" w:rsidRPr="008767BC" w:rsidRDefault="008767BC" w:rsidP="008767BC">
      <w:pPr>
        <w:rPr>
          <w:b/>
          <w:bCs/>
          <w:color w:val="0081C6" w:themeColor="text2"/>
          <w:sz w:val="30"/>
          <w:szCs w:val="30"/>
        </w:rPr>
      </w:pPr>
      <w:r>
        <w:rPr>
          <w:b/>
          <w:bCs/>
          <w:color w:val="0081C6" w:themeColor="text2"/>
          <w:sz w:val="30"/>
          <w:szCs w:val="30"/>
        </w:rPr>
        <w:lastRenderedPageBreak/>
        <w:t xml:space="preserve">The </w:t>
      </w:r>
      <w:r w:rsidR="000A1207" w:rsidRPr="008767BC">
        <w:rPr>
          <w:b/>
          <w:bCs/>
          <w:color w:val="0081C6" w:themeColor="text2"/>
          <w:sz w:val="30"/>
          <w:szCs w:val="30"/>
        </w:rPr>
        <w:t xml:space="preserve">AICHR and the right to a healthy environment </w:t>
      </w:r>
    </w:p>
    <w:p w14:paraId="72A992F4" w14:textId="77777777" w:rsidR="00C52E7B" w:rsidRDefault="008C6813" w:rsidP="008C6813">
      <w:pPr>
        <w:pStyle w:val="Quote"/>
        <w:contextualSpacing/>
        <w:rPr>
          <w:rFonts w:cstheme="minorHAnsi"/>
        </w:rPr>
      </w:pPr>
      <w:r w:rsidRPr="00CD0C21">
        <w:rPr>
          <w:rFonts w:cstheme="minorHAnsi"/>
        </w:rPr>
        <w:t xml:space="preserve">The ASEAN Human Rights Declaration explicitly recognises “the right to a safe, clean and sustainable environment”. </w:t>
      </w:r>
    </w:p>
    <w:p w14:paraId="59F04981" w14:textId="6C78D5A9" w:rsidR="008C6813" w:rsidRPr="00D867DF" w:rsidRDefault="008C6813" w:rsidP="008C6813">
      <w:pPr>
        <w:pStyle w:val="Quote"/>
        <w:contextualSpacing/>
        <w:rPr>
          <w:rFonts w:cstheme="minorHAnsi"/>
        </w:rPr>
      </w:pPr>
      <w:r w:rsidRPr="00CD0C21">
        <w:rPr>
          <w:rFonts w:cstheme="minorHAnsi"/>
        </w:rPr>
        <w:t xml:space="preserve">It also states the right to development is an “inalienable human right”, which must meet equitably the “developmental and environmental needs of present and future generations”. </w:t>
      </w:r>
    </w:p>
    <w:p w14:paraId="055AC72D" w14:textId="47E825B5" w:rsidR="000A1207" w:rsidRPr="00D867DF" w:rsidRDefault="000A1207" w:rsidP="00471650">
      <w:pPr>
        <w:rPr>
          <w:rFonts w:cstheme="minorHAnsi"/>
        </w:rPr>
      </w:pPr>
      <w:r w:rsidRPr="00D867DF">
        <w:rPr>
          <w:rFonts w:cstheme="minorHAnsi"/>
        </w:rPr>
        <w:t xml:space="preserve">Since 2014, </w:t>
      </w:r>
      <w:r w:rsidR="00471650">
        <w:rPr>
          <w:rFonts w:cstheme="minorHAnsi"/>
        </w:rPr>
        <w:t xml:space="preserve">the </w:t>
      </w:r>
      <w:r w:rsidRPr="00D867DF">
        <w:rPr>
          <w:rFonts w:cstheme="minorHAnsi"/>
        </w:rPr>
        <w:t xml:space="preserve">AICHR has co-convened consultations and workshops to address the link between human rights, the environment and climate change. NHRIs in South-East Asia have attended and participated in these events.  </w:t>
      </w:r>
    </w:p>
    <w:p w14:paraId="04E08B97" w14:textId="0A59DBC5" w:rsidR="000A1207" w:rsidRPr="00D867DF" w:rsidRDefault="000A1207" w:rsidP="00471650">
      <w:pPr>
        <w:rPr>
          <w:rFonts w:cstheme="minorHAnsi"/>
        </w:rPr>
      </w:pPr>
      <w:r w:rsidRPr="00D867DF">
        <w:rPr>
          <w:rFonts w:cstheme="minorHAnsi"/>
        </w:rPr>
        <w:t xml:space="preserve">Recent AICHR workshops have focused on a regional approach for environmental assessment that could address environmental, social, economic and human rights issues, as part of </w:t>
      </w:r>
      <w:r w:rsidR="00E63360">
        <w:rPr>
          <w:rFonts w:cstheme="minorHAnsi"/>
        </w:rPr>
        <w:t xml:space="preserve">the </w:t>
      </w:r>
      <w:r w:rsidRPr="00D867DF">
        <w:rPr>
          <w:rFonts w:cstheme="minorHAnsi"/>
        </w:rPr>
        <w:t xml:space="preserve">ASEAN’s management of environmental impacts.    </w:t>
      </w:r>
    </w:p>
    <w:p w14:paraId="71C7E162" w14:textId="3450C39F" w:rsidR="000A1207" w:rsidRPr="00AA51AB" w:rsidRDefault="00DC1341" w:rsidP="00AA51AB">
      <w:pPr>
        <w:rPr>
          <w:rFonts w:cstheme="minorHAnsi"/>
        </w:rPr>
      </w:pPr>
      <w:r w:rsidRPr="00AA51AB">
        <w:rPr>
          <w:rFonts w:cstheme="minorHAnsi"/>
        </w:rPr>
        <w:t xml:space="preserve">The </w:t>
      </w:r>
      <w:r w:rsidR="000A1207" w:rsidRPr="00AA51AB">
        <w:rPr>
          <w:rFonts w:cstheme="minorHAnsi"/>
        </w:rPr>
        <w:t xml:space="preserve">AICHR’s 2021-2025 Five-Year Work Plan </w:t>
      </w:r>
      <w:r w:rsidR="004C03B9" w:rsidRPr="00AA51AB">
        <w:rPr>
          <w:rFonts w:cstheme="minorHAnsi"/>
        </w:rPr>
        <w:t xml:space="preserve">also </w:t>
      </w:r>
      <w:r w:rsidR="000A1207" w:rsidRPr="00AA51AB">
        <w:rPr>
          <w:rFonts w:cstheme="minorHAnsi"/>
        </w:rPr>
        <w:t xml:space="preserve">sets out its priorities and activities on human rights issues relating to the environment and climate change. </w:t>
      </w:r>
      <w:r w:rsidR="00661036" w:rsidRPr="00AA51AB">
        <w:rPr>
          <w:rFonts w:cstheme="minorHAnsi"/>
        </w:rPr>
        <w:t xml:space="preserve">The </w:t>
      </w:r>
      <w:r w:rsidR="000A1207" w:rsidRPr="00AA51AB">
        <w:rPr>
          <w:rFonts w:cstheme="minorHAnsi"/>
        </w:rPr>
        <w:t>AICHR plans to:</w:t>
      </w:r>
    </w:p>
    <w:p w14:paraId="1C1E56A1" w14:textId="77777777" w:rsidR="000A1207" w:rsidRPr="00142553" w:rsidRDefault="000A1207" w:rsidP="00AD5DCD">
      <w:pPr>
        <w:pStyle w:val="ListNumberUnderline"/>
        <w:numPr>
          <w:ilvl w:val="0"/>
          <w:numId w:val="27"/>
        </w:numPr>
        <w:ind w:left="426"/>
      </w:pPr>
      <w:r w:rsidRPr="00142553">
        <w:t xml:space="preserve">Conduct follow-up consultation on linkages between human rights and the environment with a focus on improving capacity building for stakeholders on human rights-based approach to environment protection. </w:t>
      </w:r>
    </w:p>
    <w:p w14:paraId="52EE12DD" w14:textId="77777777" w:rsidR="000A1207" w:rsidRPr="00142553" w:rsidRDefault="000A1207" w:rsidP="00AD5DCD">
      <w:pPr>
        <w:pStyle w:val="ListNumberUnderline"/>
        <w:numPr>
          <w:ilvl w:val="0"/>
          <w:numId w:val="27"/>
        </w:numPr>
        <w:ind w:left="426"/>
      </w:pPr>
      <w:r w:rsidRPr="00142553">
        <w:t>Undertake initiatives to further integrate a human rights-based approach within environmental policy making and protection.</w:t>
      </w:r>
    </w:p>
    <w:p w14:paraId="5DA84A3E" w14:textId="3E2E3835" w:rsidR="00142553" w:rsidRDefault="00C52E7B" w:rsidP="00AD5DCD">
      <w:pPr>
        <w:pStyle w:val="ListNumberUnderline"/>
        <w:numPr>
          <w:ilvl w:val="0"/>
          <w:numId w:val="27"/>
        </w:numPr>
        <w:ind w:left="426"/>
      </w:pPr>
      <w:r>
        <w:t>C</w:t>
      </w:r>
      <w:r w:rsidR="00142553" w:rsidRPr="00142553">
        <w:t>onduct a consultation on human rights and climate change, with the aim of developing an outcome documentation of common understanding on possible cooperation among ASEAN bodies to deal with global and regional challenges from a human rights perspective.</w:t>
      </w:r>
    </w:p>
    <w:p w14:paraId="4BDC7BD4" w14:textId="77777777" w:rsidR="00464164" w:rsidRDefault="00464164" w:rsidP="00464164"/>
    <w:p w14:paraId="2D867B79" w14:textId="77777777" w:rsidR="00464164" w:rsidRDefault="00464164" w:rsidP="00464164"/>
    <w:p w14:paraId="42012904" w14:textId="648755A5" w:rsidR="00464164" w:rsidRPr="00142553" w:rsidRDefault="00464164" w:rsidP="00464164">
      <w:r w:rsidRPr="00464164">
        <w:rPr>
          <w:rFonts w:cstheme="minorHAnsi"/>
          <w:noProof/>
        </w:rPr>
        <w:drawing>
          <wp:inline distT="0" distB="0" distL="0" distR="0" wp14:anchorId="32243377" wp14:editId="0DFB43A5">
            <wp:extent cx="5759450" cy="1795808"/>
            <wp:effectExtent l="0" t="0" r="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759450" cy="1795808"/>
                    </a:xfrm>
                    <a:prstGeom prst="rect">
                      <a:avLst/>
                    </a:prstGeom>
                  </pic:spPr>
                </pic:pic>
              </a:graphicData>
            </a:graphic>
          </wp:inline>
        </w:drawing>
      </w:r>
    </w:p>
    <w:sectPr w:rsidR="00464164" w:rsidRPr="00142553" w:rsidSect="00C8502F">
      <w:footerReference w:type="default" r:id="rId27"/>
      <w:pgSz w:w="11906" w:h="16838"/>
      <w:pgMar w:top="1361" w:right="1418"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3FA2" w14:textId="77777777" w:rsidR="00EC6C99" w:rsidRDefault="00EC6C99" w:rsidP="00B8744F">
      <w:pPr>
        <w:spacing w:after="0" w:line="240" w:lineRule="auto"/>
      </w:pPr>
      <w:r>
        <w:separator/>
      </w:r>
    </w:p>
  </w:endnote>
  <w:endnote w:type="continuationSeparator" w:id="0">
    <w:p w14:paraId="5986ED6E" w14:textId="77777777" w:rsidR="00EC6C99" w:rsidRDefault="00EC6C99" w:rsidP="00B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F85D" w14:textId="77777777" w:rsidR="004B508F" w:rsidRDefault="00742069" w:rsidP="00B8744F">
    <w:pPr>
      <w:pStyle w:val="Footer"/>
      <w:tabs>
        <w:tab w:val="clear" w:pos="9026"/>
        <w:tab w:val="right" w:pos="9637"/>
      </w:tabs>
      <w:ind w:left="-567" w:right="-567"/>
      <w:rPr>
        <w:rStyle w:val="Strong"/>
      </w:rPr>
    </w:pPr>
    <w:r>
      <w:rPr>
        <w:rStyle w:val="Strong"/>
      </w:rPr>
      <w:t xml:space="preserve">Engaging with Inter-Governmental Mechanisms </w:t>
    </w:r>
    <w:r w:rsidR="004B508F">
      <w:rPr>
        <w:rStyle w:val="Strong"/>
      </w:rPr>
      <w:t xml:space="preserve">on the Right to a Healthy Environment and Climate Change </w:t>
    </w:r>
    <w:r w:rsidR="00B8744F" w:rsidRPr="00B8744F">
      <w:rPr>
        <w:rStyle w:val="Strong"/>
      </w:rPr>
      <w:t>Fact Sheet Series</w:t>
    </w:r>
  </w:p>
  <w:p w14:paraId="4EAB2751" w14:textId="77777777" w:rsidR="007D59E7" w:rsidRDefault="00B8744F" w:rsidP="00B8744F">
    <w:pPr>
      <w:pStyle w:val="Footer"/>
      <w:tabs>
        <w:tab w:val="clear" w:pos="9026"/>
        <w:tab w:val="right" w:pos="9637"/>
      </w:tabs>
      <w:ind w:left="-567" w:right="-567"/>
    </w:pPr>
    <w:r w:rsidRPr="00B8744F">
      <w:t xml:space="preserve">Fact Sheet </w:t>
    </w:r>
    <w:r w:rsidR="000A1207">
      <w:t xml:space="preserve">3: ASEAN and </w:t>
    </w:r>
    <w:r w:rsidR="000A6651">
      <w:t>Human Rights</w:t>
    </w:r>
    <w:r>
      <w:tab/>
    </w:r>
  </w:p>
  <w:p w14:paraId="3D328D10" w14:textId="153FE119" w:rsidR="00B8744F" w:rsidRPr="00B8744F" w:rsidRDefault="00B8744F" w:rsidP="007D59E7">
    <w:pPr>
      <w:pStyle w:val="Footer"/>
      <w:tabs>
        <w:tab w:val="clear" w:pos="9026"/>
        <w:tab w:val="right" w:pos="9637"/>
      </w:tabs>
      <w:ind w:left="-567" w:right="-567"/>
      <w:jc w:val="right"/>
    </w:pPr>
    <w:r w:rsidRPr="00B8744F">
      <w:rPr>
        <w:rStyle w:val="PageNumber"/>
      </w:rPr>
      <w:fldChar w:fldCharType="begin"/>
    </w:r>
    <w:r w:rsidRPr="00B8744F">
      <w:rPr>
        <w:rStyle w:val="PageNumber"/>
      </w:rPr>
      <w:instrText xml:space="preserve"> PAGE   \* MERGEFORMAT </w:instrText>
    </w:r>
    <w:r w:rsidRPr="00B8744F">
      <w:rPr>
        <w:rStyle w:val="PageNumber"/>
      </w:rPr>
      <w:fldChar w:fldCharType="separate"/>
    </w:r>
    <w:r w:rsidRPr="00B8744F">
      <w:rPr>
        <w:rStyle w:val="PageNumber"/>
      </w:rPr>
      <w:t>1</w:t>
    </w:r>
    <w:r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4DF6" w14:textId="77777777" w:rsidR="00EC6C99" w:rsidRDefault="00EC6C99" w:rsidP="00B8744F">
      <w:pPr>
        <w:spacing w:after="0" w:line="240" w:lineRule="auto"/>
      </w:pPr>
    </w:p>
  </w:footnote>
  <w:footnote w:type="continuationSeparator" w:id="0">
    <w:p w14:paraId="2CE9E7FE" w14:textId="77777777" w:rsidR="00EC6C99" w:rsidRDefault="00EC6C99" w:rsidP="00B8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A70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72E4EAB"/>
    <w:multiLevelType w:val="hybridMultilevel"/>
    <w:tmpl w:val="9780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D15AB"/>
    <w:multiLevelType w:val="hybridMultilevel"/>
    <w:tmpl w:val="1AC091C6"/>
    <w:lvl w:ilvl="0" w:tplc="3308347E">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431999"/>
    <w:multiLevelType w:val="multilevel"/>
    <w:tmpl w:val="50066E5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33310C5"/>
    <w:multiLevelType w:val="hybridMultilevel"/>
    <w:tmpl w:val="1F88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10037"/>
    <w:multiLevelType w:val="hybridMultilevel"/>
    <w:tmpl w:val="ECAE6E8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E56BDC"/>
    <w:multiLevelType w:val="hybridMultilevel"/>
    <w:tmpl w:val="5C5A3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5A625A"/>
    <w:multiLevelType w:val="hybridMultilevel"/>
    <w:tmpl w:val="D59C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049171">
    <w:abstractNumId w:val="1"/>
  </w:num>
  <w:num w:numId="2" w16cid:durableId="2134445427">
    <w:abstractNumId w:val="0"/>
  </w:num>
  <w:num w:numId="3" w16cid:durableId="1508902177">
    <w:abstractNumId w:val="4"/>
  </w:num>
  <w:num w:numId="4" w16cid:durableId="1903561915">
    <w:abstractNumId w:val="3"/>
  </w:num>
  <w:num w:numId="5" w16cid:durableId="1235117498">
    <w:abstractNumId w:val="5"/>
  </w:num>
  <w:num w:numId="6" w16cid:durableId="1794903724">
    <w:abstractNumId w:val="7"/>
  </w:num>
  <w:num w:numId="7" w16cid:durableId="47801104">
    <w:abstractNumId w:val="8"/>
  </w:num>
  <w:num w:numId="8" w16cid:durableId="482085455">
    <w:abstractNumId w:val="4"/>
  </w:num>
  <w:num w:numId="9" w16cid:durableId="2100832482">
    <w:abstractNumId w:val="4"/>
  </w:num>
  <w:num w:numId="10" w16cid:durableId="73742222">
    <w:abstractNumId w:val="4"/>
  </w:num>
  <w:num w:numId="11" w16cid:durableId="14888426">
    <w:abstractNumId w:val="4"/>
  </w:num>
  <w:num w:numId="12" w16cid:durableId="382605204">
    <w:abstractNumId w:val="4"/>
  </w:num>
  <w:num w:numId="13" w16cid:durableId="1678650538">
    <w:abstractNumId w:val="4"/>
  </w:num>
  <w:num w:numId="14" w16cid:durableId="466121595">
    <w:abstractNumId w:val="4"/>
  </w:num>
  <w:num w:numId="15" w16cid:durableId="639574033">
    <w:abstractNumId w:val="4"/>
  </w:num>
  <w:num w:numId="16" w16cid:durableId="1334645819">
    <w:abstractNumId w:val="4"/>
  </w:num>
  <w:num w:numId="17" w16cid:durableId="23289746">
    <w:abstractNumId w:val="2"/>
  </w:num>
  <w:num w:numId="18" w16cid:durableId="1584728100">
    <w:abstractNumId w:val="4"/>
  </w:num>
  <w:num w:numId="19" w16cid:durableId="434447744">
    <w:abstractNumId w:val="4"/>
  </w:num>
  <w:num w:numId="20" w16cid:durableId="1966691153">
    <w:abstractNumId w:val="4"/>
  </w:num>
  <w:num w:numId="21" w16cid:durableId="1519201361">
    <w:abstractNumId w:val="4"/>
  </w:num>
  <w:num w:numId="22" w16cid:durableId="1205286072">
    <w:abstractNumId w:val="4"/>
  </w:num>
  <w:num w:numId="23" w16cid:durableId="2099789435">
    <w:abstractNumId w:val="4"/>
  </w:num>
  <w:num w:numId="24" w16cid:durableId="1434983235">
    <w:abstractNumId w:val="4"/>
  </w:num>
  <w:num w:numId="25" w16cid:durableId="1516529299">
    <w:abstractNumId w:val="4"/>
  </w:num>
  <w:num w:numId="26" w16cid:durableId="957445437">
    <w:abstractNumId w:val="4"/>
  </w:num>
  <w:num w:numId="27" w16cid:durableId="3974802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9"/>
    <w:rsid w:val="00007835"/>
    <w:rsid w:val="00011324"/>
    <w:rsid w:val="00021335"/>
    <w:rsid w:val="00027A55"/>
    <w:rsid w:val="00047A5F"/>
    <w:rsid w:val="000557E9"/>
    <w:rsid w:val="0005587F"/>
    <w:rsid w:val="00071E18"/>
    <w:rsid w:val="00076459"/>
    <w:rsid w:val="00082067"/>
    <w:rsid w:val="0008288F"/>
    <w:rsid w:val="000839D3"/>
    <w:rsid w:val="000848AE"/>
    <w:rsid w:val="0008781C"/>
    <w:rsid w:val="00097543"/>
    <w:rsid w:val="000A1207"/>
    <w:rsid w:val="000A301B"/>
    <w:rsid w:val="000A6651"/>
    <w:rsid w:val="000A666D"/>
    <w:rsid w:val="000B52F7"/>
    <w:rsid w:val="000C1BFD"/>
    <w:rsid w:val="000D0EB1"/>
    <w:rsid w:val="000D497E"/>
    <w:rsid w:val="000E4723"/>
    <w:rsid w:val="000F4338"/>
    <w:rsid w:val="00103D81"/>
    <w:rsid w:val="00127983"/>
    <w:rsid w:val="00142553"/>
    <w:rsid w:val="001474F5"/>
    <w:rsid w:val="00155774"/>
    <w:rsid w:val="0016280B"/>
    <w:rsid w:val="00164AFD"/>
    <w:rsid w:val="00164F1B"/>
    <w:rsid w:val="0016745E"/>
    <w:rsid w:val="00171872"/>
    <w:rsid w:val="0018541B"/>
    <w:rsid w:val="0019449C"/>
    <w:rsid w:val="00194D25"/>
    <w:rsid w:val="001B7065"/>
    <w:rsid w:val="001C4893"/>
    <w:rsid w:val="001C7C23"/>
    <w:rsid w:val="001D0F5C"/>
    <w:rsid w:val="001D46FB"/>
    <w:rsid w:val="001D57FC"/>
    <w:rsid w:val="001E10DA"/>
    <w:rsid w:val="00216742"/>
    <w:rsid w:val="00216878"/>
    <w:rsid w:val="002168BF"/>
    <w:rsid w:val="002319CE"/>
    <w:rsid w:val="00232C1C"/>
    <w:rsid w:val="0023576D"/>
    <w:rsid w:val="00255B47"/>
    <w:rsid w:val="00256736"/>
    <w:rsid w:val="00266F21"/>
    <w:rsid w:val="0028457B"/>
    <w:rsid w:val="00294CFD"/>
    <w:rsid w:val="0029649C"/>
    <w:rsid w:val="002974CE"/>
    <w:rsid w:val="002A1143"/>
    <w:rsid w:val="002A21C2"/>
    <w:rsid w:val="002B7949"/>
    <w:rsid w:val="002C1032"/>
    <w:rsid w:val="002C3F5A"/>
    <w:rsid w:val="002C513D"/>
    <w:rsid w:val="002D459D"/>
    <w:rsid w:val="002E32A1"/>
    <w:rsid w:val="002E430C"/>
    <w:rsid w:val="002F28AF"/>
    <w:rsid w:val="002F5AFB"/>
    <w:rsid w:val="00304FAB"/>
    <w:rsid w:val="003414A1"/>
    <w:rsid w:val="00350233"/>
    <w:rsid w:val="003670BB"/>
    <w:rsid w:val="00375884"/>
    <w:rsid w:val="00381C1B"/>
    <w:rsid w:val="00383ECF"/>
    <w:rsid w:val="00392DE0"/>
    <w:rsid w:val="00395876"/>
    <w:rsid w:val="003961C6"/>
    <w:rsid w:val="003A0833"/>
    <w:rsid w:val="003A28F6"/>
    <w:rsid w:val="003A56FB"/>
    <w:rsid w:val="003C0014"/>
    <w:rsid w:val="003E773D"/>
    <w:rsid w:val="003F1EDE"/>
    <w:rsid w:val="003F6D8C"/>
    <w:rsid w:val="00405737"/>
    <w:rsid w:val="004160EB"/>
    <w:rsid w:val="00421279"/>
    <w:rsid w:val="00426790"/>
    <w:rsid w:val="00436CD3"/>
    <w:rsid w:val="00443060"/>
    <w:rsid w:val="004430E6"/>
    <w:rsid w:val="00454034"/>
    <w:rsid w:val="0045642F"/>
    <w:rsid w:val="0045729B"/>
    <w:rsid w:val="00464164"/>
    <w:rsid w:val="00471650"/>
    <w:rsid w:val="00481B0B"/>
    <w:rsid w:val="00482185"/>
    <w:rsid w:val="00487A5E"/>
    <w:rsid w:val="00490A46"/>
    <w:rsid w:val="00494BE5"/>
    <w:rsid w:val="004A67A0"/>
    <w:rsid w:val="004B0D63"/>
    <w:rsid w:val="004B508F"/>
    <w:rsid w:val="004C03B9"/>
    <w:rsid w:val="004E7450"/>
    <w:rsid w:val="00512716"/>
    <w:rsid w:val="00513980"/>
    <w:rsid w:val="005144F7"/>
    <w:rsid w:val="00515131"/>
    <w:rsid w:val="0052571D"/>
    <w:rsid w:val="00532E08"/>
    <w:rsid w:val="00534707"/>
    <w:rsid w:val="00540CA7"/>
    <w:rsid w:val="00542B32"/>
    <w:rsid w:val="00572775"/>
    <w:rsid w:val="00576522"/>
    <w:rsid w:val="00582EDC"/>
    <w:rsid w:val="00583B81"/>
    <w:rsid w:val="00596B8F"/>
    <w:rsid w:val="00597F83"/>
    <w:rsid w:val="005C215D"/>
    <w:rsid w:val="005C797C"/>
    <w:rsid w:val="005D5E7F"/>
    <w:rsid w:val="005D74B6"/>
    <w:rsid w:val="005E001B"/>
    <w:rsid w:val="006205AC"/>
    <w:rsid w:val="006341C6"/>
    <w:rsid w:val="00634FDB"/>
    <w:rsid w:val="00642153"/>
    <w:rsid w:val="00644869"/>
    <w:rsid w:val="0065313A"/>
    <w:rsid w:val="00653170"/>
    <w:rsid w:val="0065352D"/>
    <w:rsid w:val="00656C1C"/>
    <w:rsid w:val="00661036"/>
    <w:rsid w:val="00677DA6"/>
    <w:rsid w:val="00691DC8"/>
    <w:rsid w:val="0069430E"/>
    <w:rsid w:val="006A0DC5"/>
    <w:rsid w:val="006A5B7F"/>
    <w:rsid w:val="006A71D8"/>
    <w:rsid w:val="006C2EA4"/>
    <w:rsid w:val="006E11E2"/>
    <w:rsid w:val="006E50F0"/>
    <w:rsid w:val="006F1D35"/>
    <w:rsid w:val="006F2FF4"/>
    <w:rsid w:val="00710C5C"/>
    <w:rsid w:val="00715344"/>
    <w:rsid w:val="00742069"/>
    <w:rsid w:val="0075225F"/>
    <w:rsid w:val="00753E1E"/>
    <w:rsid w:val="00772A9C"/>
    <w:rsid w:val="007857B5"/>
    <w:rsid w:val="007933D1"/>
    <w:rsid w:val="007944F0"/>
    <w:rsid w:val="0079588C"/>
    <w:rsid w:val="007A5325"/>
    <w:rsid w:val="007B33E5"/>
    <w:rsid w:val="007D59E7"/>
    <w:rsid w:val="007E5FF8"/>
    <w:rsid w:val="007F29D5"/>
    <w:rsid w:val="007F3E35"/>
    <w:rsid w:val="007F6596"/>
    <w:rsid w:val="008102BD"/>
    <w:rsid w:val="00811115"/>
    <w:rsid w:val="00831870"/>
    <w:rsid w:val="00851967"/>
    <w:rsid w:val="00852F52"/>
    <w:rsid w:val="0085773E"/>
    <w:rsid w:val="00857DE6"/>
    <w:rsid w:val="00875DEC"/>
    <w:rsid w:val="008767BC"/>
    <w:rsid w:val="00883555"/>
    <w:rsid w:val="008955DF"/>
    <w:rsid w:val="008A4DEE"/>
    <w:rsid w:val="008C61B1"/>
    <w:rsid w:val="008C6813"/>
    <w:rsid w:val="008C7846"/>
    <w:rsid w:val="008F5B75"/>
    <w:rsid w:val="00904B35"/>
    <w:rsid w:val="00914EA7"/>
    <w:rsid w:val="00943356"/>
    <w:rsid w:val="009444AF"/>
    <w:rsid w:val="009465F3"/>
    <w:rsid w:val="00950DF6"/>
    <w:rsid w:val="009600ED"/>
    <w:rsid w:val="00960736"/>
    <w:rsid w:val="009818D5"/>
    <w:rsid w:val="009A13A5"/>
    <w:rsid w:val="009A1675"/>
    <w:rsid w:val="009A5C28"/>
    <w:rsid w:val="009A7B3D"/>
    <w:rsid w:val="009B4567"/>
    <w:rsid w:val="009C3203"/>
    <w:rsid w:val="009E03EE"/>
    <w:rsid w:val="009E79DE"/>
    <w:rsid w:val="009F024C"/>
    <w:rsid w:val="00A07951"/>
    <w:rsid w:val="00A10D9A"/>
    <w:rsid w:val="00A42100"/>
    <w:rsid w:val="00A56895"/>
    <w:rsid w:val="00A6414D"/>
    <w:rsid w:val="00A93784"/>
    <w:rsid w:val="00AA51AB"/>
    <w:rsid w:val="00AB438B"/>
    <w:rsid w:val="00AB7158"/>
    <w:rsid w:val="00AD051B"/>
    <w:rsid w:val="00AD1468"/>
    <w:rsid w:val="00AD1815"/>
    <w:rsid w:val="00AD235B"/>
    <w:rsid w:val="00AD5DCD"/>
    <w:rsid w:val="00AE4EB3"/>
    <w:rsid w:val="00AF3561"/>
    <w:rsid w:val="00AF65B9"/>
    <w:rsid w:val="00AF7E75"/>
    <w:rsid w:val="00B2151B"/>
    <w:rsid w:val="00B30B71"/>
    <w:rsid w:val="00B367A6"/>
    <w:rsid w:val="00B40293"/>
    <w:rsid w:val="00B44A4D"/>
    <w:rsid w:val="00B44D3E"/>
    <w:rsid w:val="00B76822"/>
    <w:rsid w:val="00B8744F"/>
    <w:rsid w:val="00B87BE3"/>
    <w:rsid w:val="00BA43EC"/>
    <w:rsid w:val="00BB3892"/>
    <w:rsid w:val="00BC4AA8"/>
    <w:rsid w:val="00BD77D9"/>
    <w:rsid w:val="00BE1B9C"/>
    <w:rsid w:val="00BF376D"/>
    <w:rsid w:val="00BF5411"/>
    <w:rsid w:val="00C0560A"/>
    <w:rsid w:val="00C057FE"/>
    <w:rsid w:val="00C06D62"/>
    <w:rsid w:val="00C274A6"/>
    <w:rsid w:val="00C41A75"/>
    <w:rsid w:val="00C52E7B"/>
    <w:rsid w:val="00C53A3D"/>
    <w:rsid w:val="00C57FA3"/>
    <w:rsid w:val="00C71BCF"/>
    <w:rsid w:val="00C77D22"/>
    <w:rsid w:val="00C80468"/>
    <w:rsid w:val="00C83465"/>
    <w:rsid w:val="00C84FF0"/>
    <w:rsid w:val="00C8502F"/>
    <w:rsid w:val="00C940A2"/>
    <w:rsid w:val="00CA3CE1"/>
    <w:rsid w:val="00CB1FCE"/>
    <w:rsid w:val="00CB4C47"/>
    <w:rsid w:val="00CB59C2"/>
    <w:rsid w:val="00CD0C21"/>
    <w:rsid w:val="00CF11CB"/>
    <w:rsid w:val="00CF69BB"/>
    <w:rsid w:val="00CF7D9F"/>
    <w:rsid w:val="00D10BEA"/>
    <w:rsid w:val="00D1456A"/>
    <w:rsid w:val="00D3447C"/>
    <w:rsid w:val="00D37ED4"/>
    <w:rsid w:val="00D4609E"/>
    <w:rsid w:val="00D65D9A"/>
    <w:rsid w:val="00D65FFD"/>
    <w:rsid w:val="00D716A9"/>
    <w:rsid w:val="00D74CA2"/>
    <w:rsid w:val="00D867DF"/>
    <w:rsid w:val="00D91DB2"/>
    <w:rsid w:val="00DA03A5"/>
    <w:rsid w:val="00DA236A"/>
    <w:rsid w:val="00DA3449"/>
    <w:rsid w:val="00DA3ADD"/>
    <w:rsid w:val="00DB4A21"/>
    <w:rsid w:val="00DC1341"/>
    <w:rsid w:val="00DD6D63"/>
    <w:rsid w:val="00DE0CF4"/>
    <w:rsid w:val="00DF139B"/>
    <w:rsid w:val="00DF2376"/>
    <w:rsid w:val="00DF4128"/>
    <w:rsid w:val="00E013F2"/>
    <w:rsid w:val="00E10AA0"/>
    <w:rsid w:val="00E11A2E"/>
    <w:rsid w:val="00E465F3"/>
    <w:rsid w:val="00E53503"/>
    <w:rsid w:val="00E63360"/>
    <w:rsid w:val="00E66855"/>
    <w:rsid w:val="00E70DC8"/>
    <w:rsid w:val="00E75586"/>
    <w:rsid w:val="00E87209"/>
    <w:rsid w:val="00EB3036"/>
    <w:rsid w:val="00EC3ED3"/>
    <w:rsid w:val="00EC6C99"/>
    <w:rsid w:val="00ED1D81"/>
    <w:rsid w:val="00ED2169"/>
    <w:rsid w:val="00ED2986"/>
    <w:rsid w:val="00ED6E2A"/>
    <w:rsid w:val="00EE2EB1"/>
    <w:rsid w:val="00F01461"/>
    <w:rsid w:val="00F10B9E"/>
    <w:rsid w:val="00F144A4"/>
    <w:rsid w:val="00F2376E"/>
    <w:rsid w:val="00F3215E"/>
    <w:rsid w:val="00F4028A"/>
    <w:rsid w:val="00F461EC"/>
    <w:rsid w:val="00F504D3"/>
    <w:rsid w:val="00F51979"/>
    <w:rsid w:val="00F56CBC"/>
    <w:rsid w:val="00F63F26"/>
    <w:rsid w:val="00F72D59"/>
    <w:rsid w:val="00F77E4A"/>
    <w:rsid w:val="00F85FD5"/>
    <w:rsid w:val="00F96344"/>
    <w:rsid w:val="00F97407"/>
    <w:rsid w:val="00FD0C0C"/>
    <w:rsid w:val="00FD7AE6"/>
    <w:rsid w:val="00FE2AAC"/>
    <w:rsid w:val="00FE4D36"/>
    <w:rsid w:val="00FE7A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A9B1"/>
  <w15:chartTrackingRefBased/>
  <w15:docId w15:val="{77F278F2-6B45-4952-B7FD-B34864C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51"/>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pPr>
      <w:spacing w:after="0"/>
    </w:pPr>
    <w:rPr>
      <w:noProof/>
      <w:sz w:val="2"/>
      <w:szCs w:val="2"/>
    </w:rPr>
  </w:style>
  <w:style w:type="paragraph" w:styleId="Header">
    <w:name w:val="header"/>
    <w:basedOn w:val="Normal"/>
    <w:link w:val="HeaderChar"/>
    <w:uiPriority w:val="99"/>
    <w:unhideWhenUsed/>
    <w:rsid w:val="00B8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44F"/>
  </w:style>
  <w:style w:type="paragraph" w:styleId="Footer">
    <w:name w:val="footer"/>
    <w:basedOn w:val="Normal"/>
    <w:link w:val="FooterChar"/>
    <w:uiPriority w:val="99"/>
    <w:unhideWhenUsed/>
    <w:rsid w:val="00B8744F"/>
    <w:pPr>
      <w:tabs>
        <w:tab w:val="center" w:pos="4513"/>
        <w:tab w:val="right" w:pos="9026"/>
      </w:tabs>
      <w:spacing w:after="0" w:line="240" w:lineRule="auto"/>
    </w:pPr>
    <w:rPr>
      <w:noProof/>
      <w:color w:val="808285"/>
      <w:spacing w:val="4"/>
      <w:sz w:val="16"/>
      <w:szCs w:val="16"/>
    </w:rPr>
  </w:style>
  <w:style w:type="character" w:customStyle="1" w:styleId="FooterChar">
    <w:name w:val="Footer Char"/>
    <w:basedOn w:val="DefaultParagraphFont"/>
    <w:link w:val="Footer"/>
    <w:uiPriority w:val="99"/>
    <w:rsid w:val="00B8744F"/>
    <w:rPr>
      <w:noProof/>
      <w:color w:val="808285"/>
      <w:spacing w:val="4"/>
      <w:sz w:val="16"/>
      <w:szCs w:val="16"/>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pPr>
      <w:spacing w:after="0"/>
    </w:pPr>
    <w:rPr>
      <w:b/>
      <w:bCs/>
      <w:caps/>
      <w:color w:val="13B5EA" w:themeColor="accent6"/>
      <w:spacing w:val="28"/>
      <w:sz w:val="24"/>
      <w:szCs w:val="24"/>
    </w:rPr>
  </w:style>
  <w:style w:type="character" w:customStyle="1" w:styleId="SubtitleChar">
    <w:name w:val="Subtitle Char"/>
    <w:basedOn w:val="DefaultParagraphFont"/>
    <w:link w:val="Subtitle"/>
    <w:uiPriority w:val="11"/>
    <w:rsid w:val="008C61B1"/>
    <w:rPr>
      <w:b/>
      <w:bCs/>
      <w:caps/>
      <w:color w:val="13B5EA" w:themeColor="accent6"/>
      <w:spacing w:val="28"/>
      <w:sz w:val="24"/>
      <w:szCs w:val="24"/>
    </w:rPr>
  </w:style>
  <w:style w:type="paragraph" w:styleId="Title">
    <w:name w:val="Title"/>
    <w:basedOn w:val="Normal"/>
    <w:next w:val="Normal"/>
    <w:link w:val="TitleChar"/>
    <w:uiPriority w:val="10"/>
    <w:qFormat/>
    <w:rsid w:val="00DD6D63"/>
    <w:pPr>
      <w:spacing w:after="480" w:line="240" w:lineRule="auto"/>
    </w:pPr>
    <w:rPr>
      <w:color w:val="0081C6" w:themeColor="text2"/>
      <w:sz w:val="53"/>
      <w:szCs w:val="53"/>
    </w:rPr>
  </w:style>
  <w:style w:type="character" w:customStyle="1" w:styleId="TitleChar">
    <w:name w:val="Title Char"/>
    <w:basedOn w:val="DefaultParagraphFont"/>
    <w:link w:val="Title"/>
    <w:uiPriority w:val="10"/>
    <w:rsid w:val="00DD6D63"/>
    <w:rPr>
      <w:color w:val="0081C6" w:themeColor="text2"/>
      <w:sz w:val="53"/>
      <w:szCs w:val="53"/>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pPr>
      <w:spacing w:after="0" w:line="240" w:lineRule="auto"/>
    </w:pPr>
    <w:rPr>
      <w:sz w:val="16"/>
    </w:rPr>
  </w:style>
  <w:style w:type="character" w:customStyle="1" w:styleId="FootnoteTextChar">
    <w:name w:val="Footnote Text Char"/>
    <w:basedOn w:val="DefaultParagraphFont"/>
    <w:link w:val="FootnoteText"/>
    <w:uiPriority w:val="99"/>
    <w:semiHidden/>
    <w:rsid w:val="0079588C"/>
    <w:rPr>
      <w:sz w:val="16"/>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pPr>
      <w:spacing w:after="0"/>
    </w:pPr>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Cs w:val="24"/>
    </w:rPr>
  </w:style>
  <w:style w:type="paragraph" w:styleId="ListBullet">
    <w:name w:val="List Bullet"/>
    <w:basedOn w:val="Normal"/>
    <w:uiPriority w:val="99"/>
    <w:unhideWhenUsed/>
    <w:qFormat/>
    <w:rsid w:val="00D74CA2"/>
  </w:style>
  <w:style w:type="character" w:styleId="CommentReference">
    <w:name w:val="annotation reference"/>
    <w:basedOn w:val="DefaultParagraphFont"/>
    <w:uiPriority w:val="99"/>
    <w:semiHidden/>
    <w:unhideWhenUsed/>
    <w:rsid w:val="00B2151B"/>
    <w:rPr>
      <w:sz w:val="16"/>
      <w:szCs w:val="16"/>
    </w:rPr>
  </w:style>
  <w:style w:type="paragraph" w:styleId="CommentText">
    <w:name w:val="annotation text"/>
    <w:basedOn w:val="Normal"/>
    <w:link w:val="CommentTextChar"/>
    <w:uiPriority w:val="99"/>
    <w:unhideWhenUsed/>
    <w:rsid w:val="00B2151B"/>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B2151B"/>
    <w:rPr>
      <w:rFonts w:ascii="Times New Roman" w:eastAsia="Times New Roman" w:hAnsi="Times New Roman" w:cs="Times New Roman"/>
      <w:lang w:eastAsia="en-GB"/>
    </w:rPr>
  </w:style>
  <w:style w:type="paragraph" w:styleId="ListParagraph">
    <w:name w:val="List Paragraph"/>
    <w:aliases w:val="Paragraph,List Paragraph (numbered (a)),Lapis Bulleted List,Dot pt,F5 List Paragraph,List Paragraph1,List Paragraph Char Char Char,Indicator Text,Numbered Para 1,Bullet 1,List Paragraph12,Bullet Points,MAIN CONTENT,List 100s,WB Para"/>
    <w:basedOn w:val="Normal"/>
    <w:link w:val="ListParagraphChar"/>
    <w:uiPriority w:val="34"/>
    <w:qFormat/>
    <w:rsid w:val="00960736"/>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A5325"/>
    <w:rPr>
      <w:color w:val="000000" w:themeColor="followedHyperlink"/>
      <w:u w:val="single"/>
    </w:rPr>
  </w:style>
  <w:style w:type="character" w:customStyle="1" w:styleId="ListParagraphChar">
    <w:name w:val="List Paragraph Char"/>
    <w:aliases w:val="Paragraph Char,List Paragraph (numbered (a)) Char,Lapis Bulleted List Char,Dot pt Char,F5 List Paragraph Char,List Paragraph1 Char,List Paragraph Char Char Char Char,Indicator Text Char,Numbered Para 1 Char,Bullet 1 Char,WB Para Char"/>
    <w:link w:val="ListParagraph"/>
    <w:uiPriority w:val="34"/>
    <w:rsid w:val="000B52F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an-aipr.org/wp-content/uploads/2018/07/Treaty-of-Amity-and-Cooperation-in-Southeast-Asia-1976-TAC.pdf" TargetMode="External"/><Relationship Id="rId18" Type="http://schemas.openxmlformats.org/officeDocument/2006/relationships/hyperlink" Target="https://aichr.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hrlibrary.umn.edu/research/Philippines/Cha-Am%20Hua%20Hin%20Declaration%20of%20the%20AICHR.pdf" TargetMode="External"/><Relationship Id="rId7" Type="http://schemas.openxmlformats.org/officeDocument/2006/relationships/endnotes" Target="endnotes.xml"/><Relationship Id="rId12" Type="http://schemas.openxmlformats.org/officeDocument/2006/relationships/hyperlink" Target="https://agreement.asean.org/media/download/20140117154159.pdf" TargetMode="External"/><Relationship Id="rId17" Type="http://schemas.openxmlformats.org/officeDocument/2006/relationships/hyperlink" Target="https://asean.org/wp-content/uploads/images/archive/publications/ASEAN-Charter.pdf" TargetMode="External"/><Relationship Id="rId25" Type="http://schemas.openxmlformats.org/officeDocument/2006/relationships/hyperlink" Target="https://seanf.asia/" TargetMode="External"/><Relationship Id="rId2" Type="http://schemas.openxmlformats.org/officeDocument/2006/relationships/numbering" Target="numbering.xml"/><Relationship Id="rId16" Type="http://schemas.openxmlformats.org/officeDocument/2006/relationships/hyperlink" Target="https://humanrightsinasean.info/wp-content/uploads/files/documents/Vientiane_Action_Programme_2004-2010_2004.pdf.pdf" TargetMode="External"/><Relationship Id="rId20" Type="http://schemas.openxmlformats.org/officeDocument/2006/relationships/hyperlink" Target="https://humanrightsinasean.info/mechanism/asean-intergovernmental-commission-on-human-righ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aichr.org/wp-content/uploads/2020/02/TOR-of-AICHR.pdf" TargetMode="External"/><Relationship Id="rId5" Type="http://schemas.openxmlformats.org/officeDocument/2006/relationships/webSettings" Target="webSettings.xml"/><Relationship Id="rId15" Type="http://schemas.openxmlformats.org/officeDocument/2006/relationships/hyperlink" Target="https://humanrightsinasean.info/wp-content/uploads/files/documents/Vientiane_Action_Programme_2004-2010_2004.pdf.pdf" TargetMode="External"/><Relationship Id="rId23" Type="http://schemas.openxmlformats.org/officeDocument/2006/relationships/hyperlink" Target="https://humanrightsinasean.info/mechanism/asean-committee-on-migrant-worker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asean.org/asean-human-rights-declaration/"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ohchr.org/en/instruments-mechanisms/instruments/vienna-declaration-and-programme-action" TargetMode="External"/><Relationship Id="rId22" Type="http://schemas.openxmlformats.org/officeDocument/2006/relationships/hyperlink" Target="https://humanrightsinasean.info/mechanism/asean-commission-on-the-rights-of-women-and-children/"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ong\OneDrive%20-%20Australian%20Human%20Rights%20Commission\Desktop\EU-IGM\Communications%20and%20Visibility\Fact%20Sheets\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198</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Huong Tran</cp:lastModifiedBy>
  <cp:revision>228</cp:revision>
  <cp:lastPrinted>2021-06-08T03:05:00Z</cp:lastPrinted>
  <dcterms:created xsi:type="dcterms:W3CDTF">2022-06-02T23:49:00Z</dcterms:created>
  <dcterms:modified xsi:type="dcterms:W3CDTF">2022-06-03T10:28:00Z</dcterms:modified>
</cp:coreProperties>
</file>