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9161" w14:textId="77777777" w:rsidR="00115489" w:rsidRPr="00257836" w:rsidRDefault="00115489" w:rsidP="00115489">
      <w:pPr>
        <w:widowControl/>
        <w:jc w:val="center"/>
        <w:rPr>
          <w:snapToGrid/>
          <w:sz w:val="20"/>
        </w:rPr>
      </w:pPr>
    </w:p>
    <w:p w14:paraId="246D2ECD" w14:textId="5D4C3A7E" w:rsidR="00115489" w:rsidRPr="00257836" w:rsidRDefault="00115489" w:rsidP="00115489">
      <w:pPr>
        <w:widowControl/>
        <w:rPr>
          <w:snapToGrid/>
          <w:sz w:val="20"/>
        </w:rPr>
      </w:pPr>
      <w:r w:rsidRPr="00257836">
        <w:rPr>
          <w:snapToGrid/>
          <w:sz w:val="20"/>
        </w:rPr>
        <w:t>Verifying Entity Name:</w:t>
      </w:r>
      <w:r w:rsidR="008D18AA">
        <w:rPr>
          <w:snapToGrid/>
          <w:sz w:val="20"/>
        </w:rPr>
        <w:t xml:space="preserve"> </w:t>
      </w:r>
      <w:r w:rsidRPr="00257836">
        <w:rPr>
          <w:snapToGrid/>
          <w:sz w:val="20"/>
        </w:rPr>
        <w:t>_____________________ (“Verifying Entity”)</w:t>
      </w:r>
    </w:p>
    <w:p w14:paraId="664E456D" w14:textId="6AD4B792" w:rsidR="00713CDE" w:rsidRDefault="00115489" w:rsidP="00115489">
      <w:pPr>
        <w:widowControl/>
        <w:spacing w:line="360" w:lineRule="auto"/>
        <w:rPr>
          <w:snapToGrid/>
          <w:sz w:val="20"/>
        </w:rPr>
      </w:pPr>
      <w:r w:rsidRPr="00257836">
        <w:rPr>
          <w:snapToGrid/>
          <w:sz w:val="20"/>
        </w:rPr>
        <w:t>Verifying Entity Address:</w:t>
      </w:r>
      <w:r w:rsidR="008D18AA">
        <w:rPr>
          <w:snapToGrid/>
          <w:sz w:val="20"/>
        </w:rPr>
        <w:t xml:space="preserve"> </w:t>
      </w:r>
      <w:r w:rsidRPr="00257836">
        <w:rPr>
          <w:snapToGrid/>
          <w:sz w:val="20"/>
        </w:rPr>
        <w:t>_____________________</w:t>
      </w:r>
    </w:p>
    <w:p w14:paraId="62B1E7DD" w14:textId="39BB6916" w:rsidR="00713CDE" w:rsidRPr="00257836" w:rsidRDefault="00713CDE" w:rsidP="00115489">
      <w:pPr>
        <w:widowControl/>
        <w:spacing w:line="360" w:lineRule="auto"/>
        <w:rPr>
          <w:snapToGrid/>
          <w:sz w:val="20"/>
        </w:rPr>
      </w:pPr>
      <w:r>
        <w:rPr>
          <w:snapToGrid/>
          <w:sz w:val="20"/>
        </w:rPr>
        <w:tab/>
      </w:r>
      <w:r>
        <w:rPr>
          <w:snapToGrid/>
          <w:sz w:val="20"/>
        </w:rPr>
        <w:tab/>
      </w:r>
      <w:r>
        <w:rPr>
          <w:snapToGrid/>
          <w:sz w:val="20"/>
        </w:rPr>
        <w:tab/>
      </w:r>
      <w:r w:rsidRPr="00257836">
        <w:rPr>
          <w:snapToGrid/>
          <w:sz w:val="20"/>
        </w:rPr>
        <w:t>_____________________</w:t>
      </w:r>
    </w:p>
    <w:p w14:paraId="7409679E" w14:textId="5BBEB81D" w:rsidR="00115489" w:rsidRPr="00257836" w:rsidRDefault="00115489" w:rsidP="00115489">
      <w:pPr>
        <w:widowControl/>
        <w:spacing w:line="360" w:lineRule="auto"/>
        <w:rPr>
          <w:b/>
          <w:snapToGrid/>
          <w:sz w:val="20"/>
        </w:rPr>
      </w:pPr>
      <w:proofErr w:type="gramStart"/>
      <w:r w:rsidRPr="00257836">
        <w:rPr>
          <w:snapToGrid/>
          <w:sz w:val="20"/>
        </w:rPr>
        <w:t>Date</w:t>
      </w:r>
      <w:r w:rsidR="003B7EC0">
        <w:rPr>
          <w:snapToGrid/>
          <w:sz w:val="20"/>
        </w:rPr>
        <w:t xml:space="preserve"> </w:t>
      </w:r>
      <w:r w:rsidRPr="00257836">
        <w:rPr>
          <w:snapToGrid/>
          <w:sz w:val="20"/>
        </w:rPr>
        <w:t>:</w:t>
      </w:r>
      <w:proofErr w:type="gramEnd"/>
      <w:r w:rsidRPr="00257836">
        <w:rPr>
          <w:snapToGrid/>
          <w:sz w:val="20"/>
        </w:rPr>
        <w:t xml:space="preserve">___________, </w:t>
      </w:r>
      <w:r w:rsidR="005B71D1">
        <w:rPr>
          <w:snapToGrid/>
          <w:sz w:val="20"/>
        </w:rPr>
        <w:t>_____</w:t>
      </w:r>
    </w:p>
    <w:p w14:paraId="27D90904" w14:textId="77777777" w:rsidR="00115489" w:rsidRPr="00257836" w:rsidRDefault="00115489" w:rsidP="00115489">
      <w:pPr>
        <w:widowControl/>
        <w:rPr>
          <w:snapToGrid/>
          <w:sz w:val="20"/>
        </w:rPr>
      </w:pPr>
    </w:p>
    <w:p w14:paraId="2A256667" w14:textId="77777777" w:rsidR="00115489" w:rsidRPr="00257836" w:rsidRDefault="00115489" w:rsidP="00115489">
      <w:pPr>
        <w:widowControl/>
        <w:spacing w:before="120" w:after="240"/>
        <w:ind w:left="720" w:firstLine="720"/>
        <w:rPr>
          <w:b/>
          <w:smallCaps/>
          <w:snapToGrid/>
          <w:sz w:val="20"/>
        </w:rPr>
      </w:pPr>
      <w:r w:rsidRPr="00257836">
        <w:rPr>
          <w:b/>
          <w:smallCaps/>
          <w:snapToGrid/>
          <w:sz w:val="20"/>
        </w:rPr>
        <w:t>Re:</w:t>
      </w:r>
      <w:r w:rsidRPr="00257836">
        <w:rPr>
          <w:b/>
          <w:smallCaps/>
          <w:snapToGrid/>
          <w:sz w:val="20"/>
        </w:rPr>
        <w:tab/>
        <w:t>Verification of Accredited Investor Status</w:t>
      </w:r>
    </w:p>
    <w:p w14:paraId="7254ADE0" w14:textId="3CD064B7" w:rsidR="00115489" w:rsidRPr="00257836" w:rsidRDefault="00115489" w:rsidP="00115489">
      <w:pPr>
        <w:widowControl/>
        <w:rPr>
          <w:snapToGrid/>
          <w:sz w:val="20"/>
        </w:rPr>
      </w:pPr>
      <w:r w:rsidRPr="00257836">
        <w:rPr>
          <w:snapToGrid/>
          <w:sz w:val="20"/>
        </w:rPr>
        <w:tab/>
        <w:t>In connection with _____</w:t>
      </w:r>
      <w:r w:rsidR="00031213">
        <w:rPr>
          <w:snapToGrid/>
          <w:sz w:val="20"/>
        </w:rPr>
        <w:t>____________</w:t>
      </w:r>
      <w:r w:rsidRPr="00257836">
        <w:rPr>
          <w:snapToGrid/>
          <w:sz w:val="20"/>
        </w:rPr>
        <w:t>__________’s (“</w:t>
      </w:r>
      <w:r w:rsidRPr="00257836">
        <w:rPr>
          <w:b/>
          <w:snapToGrid/>
          <w:sz w:val="20"/>
        </w:rPr>
        <w:t>Investor</w:t>
      </w:r>
      <w:r w:rsidRPr="00257836">
        <w:rPr>
          <w:snapToGrid/>
          <w:sz w:val="20"/>
        </w:rPr>
        <w:t xml:space="preserve">”) intention to participate in securities offerings by certain issuers conducted on the </w:t>
      </w:r>
      <w:r>
        <w:rPr>
          <w:snapToGrid/>
          <w:sz w:val="20"/>
        </w:rPr>
        <w:t>Steward</w:t>
      </w:r>
      <w:r w:rsidRPr="00257836">
        <w:rPr>
          <w:snapToGrid/>
          <w:sz w:val="20"/>
        </w:rPr>
        <w:t xml:space="preserve"> </w:t>
      </w:r>
      <w:r w:rsidR="00F61DF8">
        <w:rPr>
          <w:snapToGrid/>
          <w:sz w:val="20"/>
        </w:rPr>
        <w:t>P</w:t>
      </w:r>
      <w:bookmarkStart w:id="0" w:name="_GoBack"/>
      <w:bookmarkEnd w:id="0"/>
      <w:r w:rsidRPr="00257836">
        <w:rPr>
          <w:snapToGrid/>
          <w:sz w:val="20"/>
        </w:rPr>
        <w:t>latform (collectively, “</w:t>
      </w:r>
      <w:r w:rsidRPr="00257836">
        <w:rPr>
          <w:b/>
          <w:snapToGrid/>
          <w:sz w:val="20"/>
        </w:rPr>
        <w:t>Issuer</w:t>
      </w:r>
      <w:r w:rsidRPr="00257836">
        <w:rPr>
          <w:snapToGrid/>
          <w:sz w:val="20"/>
        </w:rPr>
        <w:t>”) pursuant to Rule 506(c) under the Securities Act of 1933 (the “</w:t>
      </w:r>
      <w:r w:rsidRPr="00257836">
        <w:rPr>
          <w:b/>
          <w:snapToGrid/>
          <w:sz w:val="20"/>
        </w:rPr>
        <w:t>Securities Act</w:t>
      </w:r>
      <w:r w:rsidRPr="00257836">
        <w:rPr>
          <w:snapToGrid/>
          <w:sz w:val="20"/>
        </w:rPr>
        <w:t>”), Verifying Entity hereby provides written confirmation of the following:</w:t>
      </w:r>
    </w:p>
    <w:p w14:paraId="359F4E68" w14:textId="77777777" w:rsidR="00115489" w:rsidRPr="00257836" w:rsidRDefault="00115489" w:rsidP="00115489">
      <w:pPr>
        <w:widowControl/>
        <w:rPr>
          <w:snapToGrid/>
          <w:sz w:val="20"/>
        </w:rPr>
      </w:pPr>
    </w:p>
    <w:p w14:paraId="3B8FB224" w14:textId="77777777" w:rsidR="00115489" w:rsidRPr="00257836" w:rsidRDefault="00115489" w:rsidP="00115489">
      <w:pPr>
        <w:widowControl/>
        <w:numPr>
          <w:ilvl w:val="0"/>
          <w:numId w:val="1"/>
        </w:numPr>
        <w:ind w:left="1080"/>
        <w:rPr>
          <w:snapToGrid/>
          <w:sz w:val="20"/>
        </w:rPr>
      </w:pPr>
      <w:r w:rsidRPr="00257836">
        <w:rPr>
          <w:snapToGrid/>
          <w:sz w:val="20"/>
        </w:rPr>
        <w:t xml:space="preserve">Verifying Entity qualifies as one of the following (please check one):  </w:t>
      </w:r>
    </w:p>
    <w:p w14:paraId="12B1D810" w14:textId="77777777" w:rsidR="00115489" w:rsidRPr="00257836" w:rsidRDefault="00115489" w:rsidP="00115489">
      <w:pPr>
        <w:widowControl/>
        <w:ind w:left="360" w:hanging="360"/>
        <w:rPr>
          <w:snapToGrid/>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88"/>
        <w:gridCol w:w="8028"/>
      </w:tblGrid>
      <w:tr w:rsidR="00115489" w:rsidRPr="00257836" w14:paraId="493CE291" w14:textId="77777777" w:rsidTr="00C858CA">
        <w:tc>
          <w:tcPr>
            <w:tcW w:w="1188" w:type="dxa"/>
            <w:shd w:val="clear" w:color="auto" w:fill="auto"/>
          </w:tcPr>
          <w:p w14:paraId="4BBA8E24" w14:textId="77777777" w:rsidR="00115489" w:rsidRPr="00257836" w:rsidRDefault="00115489" w:rsidP="00C858CA">
            <w:pPr>
              <w:widowControl/>
              <w:rPr>
                <w:snapToGrid/>
                <w:sz w:val="20"/>
              </w:rPr>
            </w:pPr>
          </w:p>
        </w:tc>
        <w:tc>
          <w:tcPr>
            <w:tcW w:w="8028" w:type="dxa"/>
            <w:shd w:val="clear" w:color="auto" w:fill="auto"/>
          </w:tcPr>
          <w:p w14:paraId="4EEBDAFC" w14:textId="77777777" w:rsidR="00115489" w:rsidRPr="00257836" w:rsidRDefault="00115489" w:rsidP="00C858CA">
            <w:pPr>
              <w:widowControl/>
              <w:rPr>
                <w:snapToGrid/>
                <w:sz w:val="20"/>
              </w:rPr>
            </w:pPr>
            <w:r w:rsidRPr="00257836">
              <w:rPr>
                <w:snapToGrid/>
                <w:sz w:val="20"/>
              </w:rPr>
              <w:t>A registered broker-dealer.</w:t>
            </w:r>
          </w:p>
        </w:tc>
      </w:tr>
      <w:tr w:rsidR="00115489" w:rsidRPr="00257836" w14:paraId="254BD472" w14:textId="77777777" w:rsidTr="00C858CA">
        <w:tc>
          <w:tcPr>
            <w:tcW w:w="1188" w:type="dxa"/>
            <w:shd w:val="clear" w:color="auto" w:fill="auto"/>
          </w:tcPr>
          <w:p w14:paraId="3FCCB988" w14:textId="77777777" w:rsidR="00115489" w:rsidRPr="00257836" w:rsidRDefault="00115489" w:rsidP="00C858CA">
            <w:pPr>
              <w:widowControl/>
              <w:rPr>
                <w:snapToGrid/>
                <w:sz w:val="20"/>
              </w:rPr>
            </w:pPr>
          </w:p>
        </w:tc>
        <w:tc>
          <w:tcPr>
            <w:tcW w:w="8028" w:type="dxa"/>
            <w:shd w:val="clear" w:color="auto" w:fill="auto"/>
          </w:tcPr>
          <w:p w14:paraId="2BF65C9E" w14:textId="77777777" w:rsidR="00115489" w:rsidRPr="00257836" w:rsidRDefault="00115489" w:rsidP="00C858CA">
            <w:pPr>
              <w:widowControl/>
              <w:rPr>
                <w:snapToGrid/>
                <w:sz w:val="20"/>
              </w:rPr>
            </w:pPr>
            <w:r w:rsidRPr="00257836">
              <w:rPr>
                <w:snapToGrid/>
                <w:sz w:val="20"/>
              </w:rPr>
              <w:t>An investment advisor registered with the Securities and Exchange Commission.</w:t>
            </w:r>
          </w:p>
        </w:tc>
      </w:tr>
      <w:tr w:rsidR="00115489" w:rsidRPr="00257836" w14:paraId="7272E074" w14:textId="77777777" w:rsidTr="00C858CA">
        <w:tc>
          <w:tcPr>
            <w:tcW w:w="1188" w:type="dxa"/>
            <w:shd w:val="clear" w:color="auto" w:fill="auto"/>
          </w:tcPr>
          <w:p w14:paraId="6921D1FC" w14:textId="77777777" w:rsidR="00115489" w:rsidRPr="00257836" w:rsidRDefault="00115489" w:rsidP="00C858CA">
            <w:pPr>
              <w:widowControl/>
              <w:rPr>
                <w:snapToGrid/>
                <w:sz w:val="20"/>
              </w:rPr>
            </w:pPr>
          </w:p>
        </w:tc>
        <w:tc>
          <w:tcPr>
            <w:tcW w:w="8028" w:type="dxa"/>
            <w:shd w:val="clear" w:color="auto" w:fill="auto"/>
          </w:tcPr>
          <w:p w14:paraId="51818FB4" w14:textId="77777777" w:rsidR="00115489" w:rsidRPr="00257836" w:rsidRDefault="00115489" w:rsidP="00C858CA">
            <w:pPr>
              <w:widowControl/>
              <w:rPr>
                <w:snapToGrid/>
                <w:sz w:val="20"/>
              </w:rPr>
            </w:pPr>
            <w:r w:rsidRPr="00257836">
              <w:rPr>
                <w:snapToGrid/>
                <w:sz w:val="20"/>
              </w:rPr>
              <w:t>A licensed attorney who is in good standing under the laws of the jurisdictions in which he or she is admitted to practice law.</w:t>
            </w:r>
          </w:p>
        </w:tc>
      </w:tr>
      <w:tr w:rsidR="00115489" w:rsidRPr="00257836" w14:paraId="663FD9B8" w14:textId="77777777" w:rsidTr="00C858CA">
        <w:tc>
          <w:tcPr>
            <w:tcW w:w="1188" w:type="dxa"/>
            <w:shd w:val="clear" w:color="auto" w:fill="auto"/>
          </w:tcPr>
          <w:p w14:paraId="3C19A9D8" w14:textId="77777777" w:rsidR="00115489" w:rsidRPr="00257836" w:rsidRDefault="00115489" w:rsidP="00C858CA">
            <w:pPr>
              <w:widowControl/>
              <w:rPr>
                <w:snapToGrid/>
                <w:sz w:val="20"/>
              </w:rPr>
            </w:pPr>
          </w:p>
        </w:tc>
        <w:tc>
          <w:tcPr>
            <w:tcW w:w="8028" w:type="dxa"/>
            <w:shd w:val="clear" w:color="auto" w:fill="auto"/>
          </w:tcPr>
          <w:p w14:paraId="3F9585EE" w14:textId="77777777" w:rsidR="00115489" w:rsidRPr="00257836" w:rsidRDefault="00115489" w:rsidP="00C858CA">
            <w:pPr>
              <w:widowControl/>
              <w:rPr>
                <w:snapToGrid/>
                <w:sz w:val="20"/>
              </w:rPr>
            </w:pPr>
            <w:r w:rsidRPr="00257836">
              <w:rPr>
                <w:snapToGrid/>
                <w:sz w:val="20"/>
              </w:rPr>
              <w:t>A certified public accountant who is duly registered and in good standing under the laws of the place of his or her residence or principal office.</w:t>
            </w:r>
          </w:p>
        </w:tc>
      </w:tr>
    </w:tbl>
    <w:p w14:paraId="3A905504" w14:textId="77777777" w:rsidR="00115489" w:rsidRPr="00257836" w:rsidRDefault="00115489" w:rsidP="00115489">
      <w:pPr>
        <w:widowControl/>
        <w:ind w:left="1440"/>
        <w:rPr>
          <w:snapToGrid/>
          <w:sz w:val="20"/>
        </w:rPr>
      </w:pPr>
    </w:p>
    <w:p w14:paraId="4E1A46E1" w14:textId="77777777" w:rsidR="00115489" w:rsidRPr="00257836" w:rsidRDefault="00115489" w:rsidP="00115489">
      <w:pPr>
        <w:widowControl/>
        <w:numPr>
          <w:ilvl w:val="0"/>
          <w:numId w:val="1"/>
        </w:numPr>
        <w:ind w:left="1440" w:hanging="720"/>
        <w:rPr>
          <w:snapToGrid/>
          <w:sz w:val="20"/>
        </w:rPr>
      </w:pPr>
      <w:r w:rsidRPr="00257836">
        <w:rPr>
          <w:snapToGrid/>
          <w:sz w:val="20"/>
        </w:rPr>
        <w:t>In accordance with Rule 506(c)(2)(ii) under the Securities Act, within three months prior to the date of this written confirmation, Verifying Entity has taken reasonable steps to verify that Investor is an “accredited investor” and has determined that Investor is an “accredited investor,” as such term is defined in Rule 501 under the Securities Act, because (please check one):</w:t>
      </w:r>
    </w:p>
    <w:p w14:paraId="611E0A11" w14:textId="77777777" w:rsidR="00115489" w:rsidRPr="00257836" w:rsidRDefault="00115489" w:rsidP="00115489">
      <w:pPr>
        <w:widowControl/>
        <w:rPr>
          <w:snapToGrid/>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88"/>
        <w:gridCol w:w="8028"/>
      </w:tblGrid>
      <w:tr w:rsidR="00115489" w:rsidRPr="00257836" w14:paraId="1026B5E2" w14:textId="77777777" w:rsidTr="00C858CA">
        <w:tc>
          <w:tcPr>
            <w:tcW w:w="1188" w:type="dxa"/>
            <w:shd w:val="clear" w:color="auto" w:fill="auto"/>
          </w:tcPr>
          <w:p w14:paraId="58751055" w14:textId="77777777" w:rsidR="00115489" w:rsidRPr="00257836" w:rsidRDefault="00115489" w:rsidP="00C858CA">
            <w:pPr>
              <w:widowControl/>
              <w:rPr>
                <w:snapToGrid/>
                <w:sz w:val="20"/>
              </w:rPr>
            </w:pPr>
          </w:p>
        </w:tc>
        <w:tc>
          <w:tcPr>
            <w:tcW w:w="8028" w:type="dxa"/>
            <w:shd w:val="clear" w:color="auto" w:fill="auto"/>
          </w:tcPr>
          <w:p w14:paraId="1E0064C6" w14:textId="77777777" w:rsidR="00115489" w:rsidRPr="00257836" w:rsidRDefault="00115489" w:rsidP="00C858CA">
            <w:pPr>
              <w:widowControl/>
              <w:rPr>
                <w:snapToGrid/>
                <w:sz w:val="20"/>
              </w:rPr>
            </w:pPr>
            <w:r w:rsidRPr="00257836">
              <w:rPr>
                <w:snapToGrid/>
                <w:sz w:val="20"/>
              </w:rPr>
              <w:t>Investor is a natural person whose net worth exceeds $1,000,000.</w:t>
            </w:r>
          </w:p>
        </w:tc>
      </w:tr>
      <w:tr w:rsidR="00115489" w:rsidRPr="00257836" w14:paraId="0EA65353" w14:textId="77777777" w:rsidTr="00C858CA">
        <w:tc>
          <w:tcPr>
            <w:tcW w:w="1188" w:type="dxa"/>
            <w:shd w:val="clear" w:color="auto" w:fill="auto"/>
          </w:tcPr>
          <w:p w14:paraId="381C4A30" w14:textId="77777777" w:rsidR="00115489" w:rsidRPr="00257836" w:rsidRDefault="00115489" w:rsidP="00C858CA">
            <w:pPr>
              <w:widowControl/>
              <w:rPr>
                <w:snapToGrid/>
                <w:sz w:val="20"/>
              </w:rPr>
            </w:pPr>
          </w:p>
        </w:tc>
        <w:tc>
          <w:tcPr>
            <w:tcW w:w="8028" w:type="dxa"/>
            <w:shd w:val="clear" w:color="auto" w:fill="auto"/>
          </w:tcPr>
          <w:p w14:paraId="3056D7EC" w14:textId="77777777" w:rsidR="00115489" w:rsidRPr="00257836" w:rsidRDefault="00115489" w:rsidP="00C858CA">
            <w:pPr>
              <w:widowControl/>
              <w:rPr>
                <w:snapToGrid/>
                <w:sz w:val="20"/>
              </w:rPr>
            </w:pPr>
            <w:r w:rsidRPr="00257836">
              <w:rPr>
                <w:snapToGrid/>
                <w:sz w:val="20"/>
              </w:rPr>
              <w:t>Investor is a natural person whose individual income exceeded $200,000 in each of the two most recent years, or joint income with Investor’s spouse exceeded $300,000 in each of the two most recent years, and the Investor has a reasonable expectation of reaching the same income level in the current year.</w:t>
            </w:r>
          </w:p>
        </w:tc>
      </w:tr>
      <w:tr w:rsidR="00115489" w:rsidRPr="00257836" w14:paraId="2413D280" w14:textId="77777777" w:rsidTr="00C858CA">
        <w:tc>
          <w:tcPr>
            <w:tcW w:w="1188" w:type="dxa"/>
            <w:shd w:val="clear" w:color="auto" w:fill="auto"/>
          </w:tcPr>
          <w:p w14:paraId="1DD761C9" w14:textId="77777777" w:rsidR="00115489" w:rsidRPr="00257836" w:rsidRDefault="00115489" w:rsidP="00C858CA">
            <w:pPr>
              <w:widowControl/>
              <w:rPr>
                <w:snapToGrid/>
                <w:sz w:val="20"/>
              </w:rPr>
            </w:pPr>
          </w:p>
        </w:tc>
        <w:tc>
          <w:tcPr>
            <w:tcW w:w="8028" w:type="dxa"/>
            <w:shd w:val="clear" w:color="auto" w:fill="auto"/>
          </w:tcPr>
          <w:p w14:paraId="6ACF0C32" w14:textId="77777777" w:rsidR="00115489" w:rsidRPr="00257836" w:rsidRDefault="00115489" w:rsidP="00C858CA">
            <w:pPr>
              <w:widowControl/>
              <w:rPr>
                <w:snapToGrid/>
                <w:sz w:val="20"/>
              </w:rPr>
            </w:pPr>
            <w:r w:rsidRPr="00257836">
              <w:rPr>
                <w:snapToGrid/>
                <w:sz w:val="20"/>
              </w:rPr>
              <w:t>Investor is an entity in which all of the equity owners are accredited investors.</w:t>
            </w:r>
          </w:p>
        </w:tc>
      </w:tr>
    </w:tbl>
    <w:p w14:paraId="277F478D" w14:textId="77777777" w:rsidR="00115489" w:rsidRPr="00257836" w:rsidRDefault="00115489" w:rsidP="00115489">
      <w:pPr>
        <w:widowControl/>
        <w:ind w:left="1080"/>
        <w:rPr>
          <w:snapToGrid/>
          <w:sz w:val="20"/>
        </w:rPr>
      </w:pPr>
    </w:p>
    <w:p w14:paraId="58E8B7E6" w14:textId="77777777" w:rsidR="00115489" w:rsidRPr="00257836" w:rsidRDefault="00115489" w:rsidP="00115489">
      <w:pPr>
        <w:widowControl/>
        <w:rPr>
          <w:snapToGrid/>
          <w:sz w:val="20"/>
        </w:rPr>
      </w:pPr>
      <w:r w:rsidRPr="00257836">
        <w:rPr>
          <w:snapToGrid/>
          <w:sz w:val="20"/>
        </w:rPr>
        <w:tab/>
        <w:t xml:space="preserve">This written confirmation of Investor’s status as an “accredited investor” may be relied upon by Issuer in connection with any transaction it may conduct pursuant to Rule 506 under the Securities Act.  It may not be used or relied upon by any other person for any other purpose.  </w:t>
      </w:r>
    </w:p>
    <w:p w14:paraId="72E3DDED" w14:textId="77777777" w:rsidR="00115489" w:rsidRPr="00257836" w:rsidRDefault="00115489" w:rsidP="00401E0B">
      <w:pPr>
        <w:widowControl/>
        <w:spacing w:after="240"/>
        <w:rPr>
          <w:snapToGrid/>
          <w:sz w:val="20"/>
        </w:rPr>
      </w:pPr>
    </w:p>
    <w:p w14:paraId="7D4E6396" w14:textId="355B351B" w:rsidR="00115489" w:rsidRPr="00257836" w:rsidRDefault="00115489" w:rsidP="00401E0B">
      <w:pPr>
        <w:widowControl/>
        <w:spacing w:after="240"/>
        <w:ind w:left="2880" w:firstLine="720"/>
        <w:rPr>
          <w:snapToGrid/>
          <w:sz w:val="20"/>
        </w:rPr>
      </w:pPr>
      <w:r w:rsidRPr="00257836">
        <w:rPr>
          <w:snapToGrid/>
          <w:sz w:val="20"/>
        </w:rPr>
        <w:tab/>
        <w:t xml:space="preserve">      Very truly yours,</w:t>
      </w:r>
    </w:p>
    <w:p w14:paraId="434F7105" w14:textId="77777777" w:rsidR="00115489" w:rsidRPr="00257836" w:rsidRDefault="00115489" w:rsidP="00115489">
      <w:pPr>
        <w:rPr>
          <w:sz w:val="20"/>
        </w:rPr>
      </w:pPr>
    </w:p>
    <w:p w14:paraId="59AFACA6" w14:textId="77777777" w:rsidR="00115489" w:rsidRPr="00257836" w:rsidRDefault="00115489" w:rsidP="00115489">
      <w:pPr>
        <w:pStyle w:val="Signature"/>
        <w:spacing w:before="0"/>
      </w:pPr>
      <w:r w:rsidRPr="00257836">
        <w:rPr>
          <w:u w:val="single"/>
        </w:rPr>
        <w:tab/>
      </w:r>
      <w:r w:rsidRPr="00257836">
        <w:rPr>
          <w:u w:val="single"/>
        </w:rPr>
        <w:tab/>
      </w:r>
      <w:r w:rsidRPr="00257836">
        <w:rPr>
          <w:u w:val="single"/>
        </w:rPr>
        <w:tab/>
      </w:r>
      <w:r w:rsidRPr="00257836">
        <w:rPr>
          <w:u w:val="single"/>
        </w:rPr>
        <w:tab/>
      </w:r>
      <w:r w:rsidRPr="00257836">
        <w:rPr>
          <w:u w:val="single"/>
        </w:rPr>
        <w:tab/>
      </w:r>
      <w:r w:rsidRPr="00257836">
        <w:rPr>
          <w:u w:val="single"/>
        </w:rPr>
        <w:tab/>
      </w:r>
      <w:r w:rsidRPr="00257836">
        <w:rPr>
          <w:u w:val="single"/>
        </w:rPr>
        <w:tab/>
      </w:r>
    </w:p>
    <w:p w14:paraId="437F425B" w14:textId="77777777" w:rsidR="00115489" w:rsidRPr="00257836" w:rsidRDefault="00115489" w:rsidP="00115489">
      <w:pPr>
        <w:pStyle w:val="Signature"/>
        <w:spacing w:before="0"/>
        <w:outlineLvl w:val="0"/>
      </w:pPr>
      <w:r w:rsidRPr="00257836">
        <w:t>Print Name of Verifying Entity</w:t>
      </w:r>
    </w:p>
    <w:p w14:paraId="09158924" w14:textId="77777777" w:rsidR="002B2405" w:rsidRDefault="00115489" w:rsidP="00115489">
      <w:pPr>
        <w:tabs>
          <w:tab w:val="left" w:pos="4680"/>
        </w:tabs>
        <w:outlineLvl w:val="0"/>
        <w:rPr>
          <w:sz w:val="20"/>
        </w:rPr>
      </w:pPr>
      <w:r w:rsidRPr="00257836">
        <w:rPr>
          <w:sz w:val="20"/>
        </w:rPr>
        <w:tab/>
      </w:r>
    </w:p>
    <w:p w14:paraId="5D417A0D" w14:textId="77777777" w:rsidR="002B2405" w:rsidRDefault="002B2405" w:rsidP="00115489">
      <w:pPr>
        <w:tabs>
          <w:tab w:val="left" w:pos="4680"/>
        </w:tabs>
        <w:outlineLvl w:val="0"/>
        <w:rPr>
          <w:sz w:val="20"/>
        </w:rPr>
      </w:pPr>
    </w:p>
    <w:p w14:paraId="04218609" w14:textId="33F43B7C" w:rsidR="00115489" w:rsidRPr="00257836" w:rsidRDefault="002B2405" w:rsidP="00115489">
      <w:pPr>
        <w:tabs>
          <w:tab w:val="left" w:pos="4680"/>
        </w:tabs>
        <w:outlineLvl w:val="0"/>
        <w:rPr>
          <w:sz w:val="20"/>
          <w:u w:val="single"/>
        </w:rPr>
      </w:pPr>
      <w:r>
        <w:rPr>
          <w:sz w:val="20"/>
        </w:rPr>
        <w:tab/>
      </w:r>
      <w:r w:rsidR="00115489" w:rsidRPr="00257836">
        <w:rPr>
          <w:sz w:val="20"/>
        </w:rPr>
        <w:t>By:</w:t>
      </w:r>
      <w:r w:rsidR="00115489" w:rsidRPr="00257836">
        <w:rPr>
          <w:sz w:val="20"/>
          <w:u w:val="single"/>
        </w:rPr>
        <w:tab/>
      </w:r>
      <w:r w:rsidR="00115489" w:rsidRPr="00257836">
        <w:rPr>
          <w:sz w:val="20"/>
          <w:u w:val="single"/>
        </w:rPr>
        <w:tab/>
      </w:r>
      <w:r w:rsidR="00115489" w:rsidRPr="00257836">
        <w:rPr>
          <w:sz w:val="20"/>
          <w:u w:val="single"/>
        </w:rPr>
        <w:tab/>
      </w:r>
      <w:r w:rsidR="00115489" w:rsidRPr="00257836">
        <w:rPr>
          <w:sz w:val="20"/>
          <w:u w:val="single"/>
        </w:rPr>
        <w:tab/>
      </w:r>
      <w:r w:rsidR="00115489" w:rsidRPr="00257836">
        <w:rPr>
          <w:sz w:val="20"/>
          <w:u w:val="single"/>
        </w:rPr>
        <w:tab/>
      </w:r>
      <w:r w:rsidR="00115489" w:rsidRPr="00257836">
        <w:rPr>
          <w:sz w:val="20"/>
          <w:u w:val="single"/>
        </w:rPr>
        <w:tab/>
      </w:r>
      <w:r w:rsidR="00115489" w:rsidRPr="00257836">
        <w:rPr>
          <w:sz w:val="20"/>
          <w:u w:val="single"/>
        </w:rPr>
        <w:tab/>
      </w:r>
    </w:p>
    <w:p w14:paraId="151FCD1B" w14:textId="77777777" w:rsidR="00115489" w:rsidRPr="00257836" w:rsidRDefault="00115489" w:rsidP="00115489">
      <w:pPr>
        <w:pStyle w:val="Signature"/>
        <w:keepNext w:val="0"/>
        <w:widowControl w:val="0"/>
        <w:spacing w:before="0"/>
        <w:ind w:left="6754"/>
        <w:outlineLvl w:val="0"/>
        <w:rPr>
          <w:color w:val="000000"/>
        </w:rPr>
      </w:pPr>
      <w:r w:rsidRPr="00257836">
        <w:rPr>
          <w:color w:val="000000"/>
        </w:rPr>
        <w:t>Signature</w:t>
      </w:r>
    </w:p>
    <w:p w14:paraId="000C4361" w14:textId="77777777" w:rsidR="00115489" w:rsidRPr="00257836" w:rsidRDefault="00115489" w:rsidP="00115489">
      <w:pPr>
        <w:pStyle w:val="Signature"/>
        <w:keepNext w:val="0"/>
        <w:widowControl w:val="0"/>
        <w:rPr>
          <w:color w:val="000000"/>
        </w:rPr>
      </w:pPr>
      <w:r w:rsidRPr="00257836">
        <w:rPr>
          <w:color w:val="000000"/>
          <w:u w:val="single"/>
        </w:rPr>
        <w:tab/>
      </w:r>
      <w:r w:rsidRPr="00257836">
        <w:rPr>
          <w:color w:val="000000"/>
          <w:u w:val="single"/>
        </w:rPr>
        <w:tab/>
      </w:r>
      <w:r w:rsidRPr="00257836">
        <w:rPr>
          <w:color w:val="000000"/>
          <w:u w:val="single"/>
        </w:rPr>
        <w:tab/>
      </w:r>
      <w:r w:rsidRPr="00257836">
        <w:rPr>
          <w:color w:val="000000"/>
          <w:u w:val="single"/>
        </w:rPr>
        <w:tab/>
      </w:r>
      <w:r w:rsidRPr="00257836">
        <w:rPr>
          <w:color w:val="000000"/>
          <w:u w:val="single"/>
        </w:rPr>
        <w:tab/>
      </w:r>
      <w:r w:rsidRPr="00257836">
        <w:rPr>
          <w:color w:val="000000"/>
          <w:u w:val="single"/>
        </w:rPr>
        <w:tab/>
      </w:r>
      <w:r w:rsidRPr="00257836">
        <w:rPr>
          <w:color w:val="000000"/>
          <w:u w:val="single"/>
        </w:rPr>
        <w:tab/>
      </w:r>
    </w:p>
    <w:p w14:paraId="1AACC8C0" w14:textId="3B9ADA11" w:rsidR="007020D5" w:rsidRPr="002B2405" w:rsidRDefault="00115489" w:rsidP="002B2405">
      <w:pPr>
        <w:pStyle w:val="Signature"/>
        <w:keepNext w:val="0"/>
        <w:widowControl w:val="0"/>
        <w:spacing w:before="0"/>
        <w:outlineLvl w:val="0"/>
        <w:rPr>
          <w:color w:val="000000"/>
        </w:rPr>
      </w:pPr>
      <w:r w:rsidRPr="00257836">
        <w:rPr>
          <w:color w:val="000000"/>
        </w:rPr>
        <w:tab/>
      </w:r>
      <w:r w:rsidRPr="00257836">
        <w:rPr>
          <w:color w:val="000000"/>
        </w:rPr>
        <w:tab/>
        <w:t>Print Title (if applicable)</w:t>
      </w:r>
    </w:p>
    <w:sectPr w:rsidR="007020D5" w:rsidRPr="002B2405" w:rsidSect="00115489">
      <w:endnotePr>
        <w:numFmt w:val="decimal"/>
      </w:endnotePr>
      <w:pgSz w:w="12240" w:h="15840"/>
      <w:pgMar w:top="720" w:right="720" w:bottom="720" w:left="720" w:header="1440" w:footer="90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05651"/>
    <w:multiLevelType w:val="hybridMultilevel"/>
    <w:tmpl w:val="3190C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89"/>
    <w:rsid w:val="00031213"/>
    <w:rsid w:val="00065618"/>
    <w:rsid w:val="00115489"/>
    <w:rsid w:val="001D75A2"/>
    <w:rsid w:val="002B2405"/>
    <w:rsid w:val="002B2865"/>
    <w:rsid w:val="003B7EC0"/>
    <w:rsid w:val="00401E0B"/>
    <w:rsid w:val="004E54C2"/>
    <w:rsid w:val="00511EA8"/>
    <w:rsid w:val="005B71D1"/>
    <w:rsid w:val="007020D5"/>
    <w:rsid w:val="00713CDE"/>
    <w:rsid w:val="007F7AFA"/>
    <w:rsid w:val="00841604"/>
    <w:rsid w:val="008D18AA"/>
    <w:rsid w:val="00B03160"/>
    <w:rsid w:val="00B12340"/>
    <w:rsid w:val="00B92834"/>
    <w:rsid w:val="00D052C3"/>
    <w:rsid w:val="00D2213E"/>
    <w:rsid w:val="00DA4B12"/>
    <w:rsid w:val="00E17A4D"/>
    <w:rsid w:val="00F24ED7"/>
    <w:rsid w:val="00F6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D99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5489"/>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aliases w:val="s"/>
    <w:basedOn w:val="Closing"/>
    <w:next w:val="Normal"/>
    <w:link w:val="SignatureChar"/>
    <w:rsid w:val="00115489"/>
    <w:pPr>
      <w:keepNext/>
      <w:widowControl/>
      <w:spacing w:before="240"/>
      <w:ind w:left="4680"/>
    </w:pPr>
    <w:rPr>
      <w:snapToGrid/>
      <w:sz w:val="20"/>
    </w:rPr>
  </w:style>
  <w:style w:type="character" w:customStyle="1" w:styleId="SignatureChar">
    <w:name w:val="Signature Char"/>
    <w:aliases w:val="s Char"/>
    <w:basedOn w:val="DefaultParagraphFont"/>
    <w:link w:val="Signature"/>
    <w:rsid w:val="00115489"/>
    <w:rPr>
      <w:rFonts w:ascii="Times New Roman" w:eastAsia="Times New Roman" w:hAnsi="Times New Roman" w:cs="Times New Roman"/>
      <w:sz w:val="20"/>
      <w:szCs w:val="20"/>
    </w:rPr>
  </w:style>
  <w:style w:type="paragraph" w:styleId="Closing">
    <w:name w:val="Closing"/>
    <w:basedOn w:val="Normal"/>
    <w:link w:val="ClosingChar"/>
    <w:uiPriority w:val="99"/>
    <w:semiHidden/>
    <w:unhideWhenUsed/>
    <w:rsid w:val="00115489"/>
    <w:pPr>
      <w:ind w:left="4320"/>
    </w:pPr>
  </w:style>
  <w:style w:type="character" w:customStyle="1" w:styleId="ClosingChar">
    <w:name w:val="Closing Char"/>
    <w:basedOn w:val="DefaultParagraphFont"/>
    <w:link w:val="Closing"/>
    <w:uiPriority w:val="99"/>
    <w:semiHidden/>
    <w:rsid w:val="00115489"/>
    <w:rPr>
      <w:rFonts w:ascii="Times New Roman" w:eastAsia="Times New Roman" w:hAnsi="Times New Roman" w:cs="Times New Roman"/>
      <w:snapToGrid w:val="0"/>
      <w:szCs w:val="20"/>
    </w:rPr>
  </w:style>
  <w:style w:type="paragraph" w:styleId="DocumentMap">
    <w:name w:val="Document Map"/>
    <w:basedOn w:val="Normal"/>
    <w:link w:val="DocumentMapChar"/>
    <w:uiPriority w:val="99"/>
    <w:semiHidden/>
    <w:unhideWhenUsed/>
    <w:rsid w:val="00115489"/>
    <w:rPr>
      <w:szCs w:val="24"/>
    </w:rPr>
  </w:style>
  <w:style w:type="character" w:customStyle="1" w:styleId="DocumentMapChar">
    <w:name w:val="Document Map Char"/>
    <w:basedOn w:val="DefaultParagraphFont"/>
    <w:link w:val="DocumentMap"/>
    <w:uiPriority w:val="99"/>
    <w:semiHidden/>
    <w:rsid w:val="00115489"/>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Print Name of Verifying Entity</vt:lpstr>
      <vt:lpstr>By:							</vt:lpstr>
      <vt:lpstr>Signature</vt:lpstr>
      <vt:lpstr>Print Title (if applicable)</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Miller</dc:creator>
  <cp:keywords/>
  <dc:description/>
  <cp:lastModifiedBy>Dan Miller</cp:lastModifiedBy>
  <cp:revision>4</cp:revision>
  <cp:lastPrinted>2017-07-26T16:32:00Z</cp:lastPrinted>
  <dcterms:created xsi:type="dcterms:W3CDTF">2017-12-04T18:27:00Z</dcterms:created>
  <dcterms:modified xsi:type="dcterms:W3CDTF">2019-11-01T15:42:00Z</dcterms:modified>
</cp:coreProperties>
</file>